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281D" w14:textId="146D0CE5" w:rsidR="006810FA" w:rsidRDefault="00F53903" w:rsidP="006810FA">
      <w:pPr>
        <w:spacing w:after="0" w:line="300" w:lineRule="atLeast"/>
      </w:pPr>
      <w:r w:rsidRPr="00F53903">
        <w:t xml:space="preserve">Fiscal 2020: Significant improvement in second half of </w:t>
      </w:r>
      <w:r w:rsidR="008C0E1B">
        <w:t>y</w:t>
      </w:r>
      <w:r w:rsidRPr="00F53903">
        <w:t>ear</w:t>
      </w:r>
    </w:p>
    <w:p w14:paraId="080313B3" w14:textId="77777777" w:rsidR="00F53903" w:rsidRPr="006810FA" w:rsidRDefault="00F53903" w:rsidP="006810FA">
      <w:pPr>
        <w:spacing w:after="0" w:line="300" w:lineRule="atLeast"/>
      </w:pPr>
    </w:p>
    <w:p w14:paraId="0C0835E4" w14:textId="28A71F0A" w:rsidR="006727CC" w:rsidRPr="00D67291" w:rsidRDefault="00FA5949" w:rsidP="006727CC">
      <w:pPr>
        <w:spacing w:after="0" w:line="300" w:lineRule="atLeast"/>
        <w:rPr>
          <w:b/>
          <w:sz w:val="30"/>
          <w:szCs w:val="30"/>
        </w:rPr>
      </w:pPr>
      <w:r>
        <w:rPr>
          <w:b/>
          <w:sz w:val="30"/>
          <w:szCs w:val="30"/>
        </w:rPr>
        <w:t>Covestro suc</w:t>
      </w:r>
      <w:r w:rsidR="007F26E0">
        <w:rPr>
          <w:b/>
          <w:sz w:val="30"/>
          <w:szCs w:val="30"/>
        </w:rPr>
        <w:t>c</w:t>
      </w:r>
      <w:r>
        <w:rPr>
          <w:b/>
          <w:sz w:val="30"/>
          <w:szCs w:val="30"/>
        </w:rPr>
        <w:t>essfully navigates exceptional year 2020</w:t>
      </w:r>
    </w:p>
    <w:p w14:paraId="3C51281F" w14:textId="77777777" w:rsidR="006810FA" w:rsidRPr="006810FA" w:rsidRDefault="006810FA" w:rsidP="006810FA">
      <w:pPr>
        <w:spacing w:after="0" w:line="300" w:lineRule="atLeast"/>
      </w:pPr>
    </w:p>
    <w:p w14:paraId="6B9EA7DA" w14:textId="2F61E184" w:rsidR="007E76BF" w:rsidRPr="007E76BF" w:rsidRDefault="007E76BF" w:rsidP="007E76BF">
      <w:pPr>
        <w:pStyle w:val="Listenabsatz"/>
        <w:numPr>
          <w:ilvl w:val="0"/>
          <w:numId w:val="4"/>
        </w:numPr>
        <w:spacing w:after="0" w:line="300" w:lineRule="atLeast"/>
        <w:rPr>
          <w:b/>
        </w:rPr>
      </w:pPr>
      <w:r w:rsidRPr="007E76BF">
        <w:rPr>
          <w:b/>
        </w:rPr>
        <w:t>Core volumes down</w:t>
      </w:r>
      <w:r w:rsidR="00CD11AA">
        <w:rPr>
          <w:b/>
        </w:rPr>
        <w:t xml:space="preserve"> by</w:t>
      </w:r>
      <w:r w:rsidRPr="007E76BF">
        <w:rPr>
          <w:b/>
        </w:rPr>
        <w:t xml:space="preserve"> 5.6%</w:t>
      </w:r>
    </w:p>
    <w:p w14:paraId="409A4D55" w14:textId="74424666" w:rsidR="007E76BF" w:rsidRPr="007E76BF" w:rsidRDefault="007E76BF" w:rsidP="007E76BF">
      <w:pPr>
        <w:pStyle w:val="Listenabsatz"/>
        <w:numPr>
          <w:ilvl w:val="0"/>
          <w:numId w:val="4"/>
        </w:numPr>
        <w:spacing w:after="0" w:line="300" w:lineRule="atLeast"/>
        <w:rPr>
          <w:b/>
        </w:rPr>
      </w:pPr>
      <w:r w:rsidRPr="007E76BF">
        <w:rPr>
          <w:b/>
        </w:rPr>
        <w:t>Group sales approximately EUR</w:t>
      </w:r>
      <w:r w:rsidR="00C7391B">
        <w:rPr>
          <w:b/>
        </w:rPr>
        <w:t> </w:t>
      </w:r>
      <w:r w:rsidRPr="007E76BF">
        <w:rPr>
          <w:b/>
        </w:rPr>
        <w:t>10.7</w:t>
      </w:r>
      <w:r w:rsidR="00C7391B">
        <w:rPr>
          <w:b/>
        </w:rPr>
        <w:t> </w:t>
      </w:r>
      <w:r w:rsidRPr="007E76BF">
        <w:rPr>
          <w:b/>
        </w:rPr>
        <w:t xml:space="preserve">billion (–13.7%) </w:t>
      </w:r>
    </w:p>
    <w:p w14:paraId="7A958886" w14:textId="1977A423" w:rsidR="007E76BF" w:rsidRPr="007E76BF" w:rsidRDefault="007E76BF" w:rsidP="007E76BF">
      <w:pPr>
        <w:pStyle w:val="Listenabsatz"/>
        <w:numPr>
          <w:ilvl w:val="0"/>
          <w:numId w:val="4"/>
        </w:numPr>
        <w:spacing w:after="0" w:line="300" w:lineRule="atLeast"/>
        <w:rPr>
          <w:b/>
        </w:rPr>
      </w:pPr>
      <w:r w:rsidRPr="007E76BF">
        <w:rPr>
          <w:b/>
        </w:rPr>
        <w:t xml:space="preserve">EBITDA as </w:t>
      </w:r>
      <w:r w:rsidR="00332A6B">
        <w:rPr>
          <w:b/>
        </w:rPr>
        <w:t xml:space="preserve">forecasted </w:t>
      </w:r>
      <w:r w:rsidRPr="007E76BF">
        <w:rPr>
          <w:b/>
        </w:rPr>
        <w:t>at approximately EUR</w:t>
      </w:r>
      <w:r w:rsidR="00C7391B">
        <w:rPr>
          <w:b/>
        </w:rPr>
        <w:t> </w:t>
      </w:r>
      <w:r w:rsidRPr="007E76BF">
        <w:rPr>
          <w:b/>
        </w:rPr>
        <w:t>1.5</w:t>
      </w:r>
      <w:r w:rsidR="00C7391B">
        <w:rPr>
          <w:b/>
        </w:rPr>
        <w:t> </w:t>
      </w:r>
      <w:r w:rsidRPr="007E76BF">
        <w:rPr>
          <w:b/>
        </w:rPr>
        <w:t xml:space="preserve">billion (–8.2%) </w:t>
      </w:r>
    </w:p>
    <w:p w14:paraId="55A363EE" w14:textId="099544F6" w:rsidR="007E76BF" w:rsidRPr="007E76BF" w:rsidRDefault="007E76BF" w:rsidP="007E76BF">
      <w:pPr>
        <w:pStyle w:val="Listenabsatz"/>
        <w:numPr>
          <w:ilvl w:val="0"/>
          <w:numId w:val="4"/>
        </w:numPr>
        <w:spacing w:after="0" w:line="300" w:lineRule="atLeast"/>
        <w:rPr>
          <w:b/>
        </w:rPr>
      </w:pPr>
      <w:r w:rsidRPr="007E76BF">
        <w:rPr>
          <w:b/>
        </w:rPr>
        <w:t>Free operating cash flow increased to EUR</w:t>
      </w:r>
      <w:r w:rsidR="00C7391B">
        <w:rPr>
          <w:b/>
        </w:rPr>
        <w:t> </w:t>
      </w:r>
      <w:r w:rsidRPr="007E76BF">
        <w:rPr>
          <w:b/>
        </w:rPr>
        <w:t>530</w:t>
      </w:r>
      <w:r w:rsidR="00C7391B">
        <w:rPr>
          <w:b/>
        </w:rPr>
        <w:t> </w:t>
      </w:r>
      <w:r w:rsidRPr="007E76BF">
        <w:rPr>
          <w:b/>
        </w:rPr>
        <w:t>million (+12.1%)</w:t>
      </w:r>
    </w:p>
    <w:p w14:paraId="783D86FC" w14:textId="4C3CEC6B" w:rsidR="007E76BF" w:rsidRPr="007E76BF" w:rsidRDefault="007E76BF" w:rsidP="007E76BF">
      <w:pPr>
        <w:pStyle w:val="Listenabsatz"/>
        <w:numPr>
          <w:ilvl w:val="0"/>
          <w:numId w:val="4"/>
        </w:numPr>
        <w:spacing w:after="0" w:line="300" w:lineRule="atLeast"/>
        <w:rPr>
          <w:b/>
        </w:rPr>
      </w:pPr>
      <w:r w:rsidRPr="007E76BF">
        <w:rPr>
          <w:b/>
        </w:rPr>
        <w:t>Proposed dividend of EUR</w:t>
      </w:r>
      <w:r w:rsidR="00C7391B">
        <w:rPr>
          <w:b/>
        </w:rPr>
        <w:t> </w:t>
      </w:r>
      <w:r w:rsidRPr="007E76BF">
        <w:rPr>
          <w:b/>
        </w:rPr>
        <w:t>1.30, new dividend policy</w:t>
      </w:r>
    </w:p>
    <w:p w14:paraId="5AF9AB17" w14:textId="59155EDE" w:rsidR="00861B16" w:rsidRPr="00903840" w:rsidRDefault="00861B16" w:rsidP="00861B16">
      <w:pPr>
        <w:pStyle w:val="paragraph"/>
        <w:numPr>
          <w:ilvl w:val="0"/>
          <w:numId w:val="4"/>
        </w:numPr>
        <w:spacing w:before="0" w:beforeAutospacing="0" w:after="0" w:afterAutospacing="0" w:line="300" w:lineRule="atLeast"/>
        <w:textAlignment w:val="baseline"/>
        <w:rPr>
          <w:rFonts w:ascii="Arial" w:hAnsi="Arial" w:cs="Arial"/>
          <w:sz w:val="21"/>
          <w:szCs w:val="21"/>
        </w:rPr>
      </w:pPr>
      <w:r>
        <w:rPr>
          <w:rStyle w:val="normaltextrun"/>
          <w:rFonts w:ascii="Arial" w:hAnsi="Arial"/>
          <w:b/>
          <w:bCs/>
          <w:sz w:val="21"/>
          <w:szCs w:val="21"/>
        </w:rPr>
        <w:t xml:space="preserve">Realignment of strategy </w:t>
      </w:r>
      <w:r w:rsidR="00887C4F">
        <w:rPr>
          <w:rStyle w:val="normaltextrun"/>
          <w:rFonts w:ascii="Arial" w:hAnsi="Arial"/>
          <w:b/>
          <w:bCs/>
          <w:sz w:val="21"/>
          <w:szCs w:val="21"/>
        </w:rPr>
        <w:t>towards</w:t>
      </w:r>
      <w:r>
        <w:rPr>
          <w:rStyle w:val="normaltextrun"/>
          <w:rFonts w:ascii="Arial" w:hAnsi="Arial"/>
          <w:b/>
          <w:bCs/>
          <w:sz w:val="21"/>
          <w:szCs w:val="21"/>
        </w:rPr>
        <w:t xml:space="preserve"> becoming fully circular</w:t>
      </w:r>
    </w:p>
    <w:p w14:paraId="3C512820" w14:textId="2BA7A853" w:rsidR="00FF609E" w:rsidRPr="007E76BF" w:rsidRDefault="007E76BF" w:rsidP="007E76BF">
      <w:pPr>
        <w:pStyle w:val="Listenabsatz"/>
        <w:numPr>
          <w:ilvl w:val="0"/>
          <w:numId w:val="4"/>
        </w:numPr>
        <w:spacing w:after="0" w:line="300" w:lineRule="atLeast"/>
        <w:rPr>
          <w:b/>
        </w:rPr>
      </w:pPr>
      <w:r w:rsidRPr="007E76BF">
        <w:rPr>
          <w:b/>
        </w:rPr>
        <w:t>2021: Fiscal year above pre-pandemic level expected</w:t>
      </w:r>
    </w:p>
    <w:p w14:paraId="3C512821" w14:textId="77777777" w:rsidR="006810FA" w:rsidRPr="006810FA" w:rsidRDefault="006810FA" w:rsidP="006810FA">
      <w:pPr>
        <w:spacing w:after="0"/>
      </w:pPr>
    </w:p>
    <w:p w14:paraId="2B40DFD1" w14:textId="3FF7C80C"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sidRPr="001E47C9">
        <w:rPr>
          <w:rFonts w:ascii="Arial" w:hAnsi="Arial"/>
          <w:sz w:val="21"/>
          <w:szCs w:val="21"/>
        </w:rPr>
        <w:t xml:space="preserve">Covestro saw a strong end to an exceptional year in 2020 and benefited, especially in the second half, from its </w:t>
      </w:r>
      <w:r w:rsidR="00B46155">
        <w:rPr>
          <w:rFonts w:ascii="Arial" w:hAnsi="Arial"/>
          <w:sz w:val="21"/>
          <w:szCs w:val="21"/>
        </w:rPr>
        <w:t>consistent</w:t>
      </w:r>
      <w:r w:rsidRPr="001E47C9">
        <w:rPr>
          <w:rFonts w:ascii="Arial" w:hAnsi="Arial"/>
          <w:sz w:val="21"/>
          <w:szCs w:val="21"/>
        </w:rPr>
        <w:t xml:space="preserve"> crisis prevention measures and a recovery in demand</w:t>
      </w:r>
      <w:r>
        <w:rPr>
          <w:rFonts w:ascii="Arial" w:hAnsi="Arial"/>
          <w:sz w:val="21"/>
          <w:szCs w:val="21"/>
        </w:rPr>
        <w:t>. Despite the very successful fourth quarter, the Group</w:t>
      </w:r>
      <w:r w:rsidR="002E4CFC">
        <w:rPr>
          <w:rFonts w:ascii="Arial" w:hAnsi="Arial"/>
          <w:sz w:val="21"/>
          <w:szCs w:val="21"/>
        </w:rPr>
        <w:t xml:space="preserve"> </w:t>
      </w:r>
      <w:r w:rsidR="002E4CFC" w:rsidRPr="002E4CFC">
        <w:rPr>
          <w:rFonts w:ascii="Arial" w:hAnsi="Arial"/>
          <w:sz w:val="21"/>
          <w:szCs w:val="21"/>
        </w:rPr>
        <w:t xml:space="preserve">could not fully compensate </w:t>
      </w:r>
      <w:r>
        <w:rPr>
          <w:rFonts w:ascii="Arial" w:hAnsi="Arial"/>
          <w:sz w:val="21"/>
          <w:szCs w:val="21"/>
        </w:rPr>
        <w:t xml:space="preserve">the massive, pandemic-related cut-backs that arose in the first six months. In 2020, the Group's core volumes sold were down by 5.6% over the prior-year period. Group sales also declined, falling 13.7% year over year to approximately </w:t>
      </w:r>
      <w:r w:rsidR="004B087C">
        <w:rPr>
          <w:rFonts w:ascii="Arial" w:hAnsi="Arial"/>
          <w:sz w:val="21"/>
          <w:szCs w:val="21"/>
        </w:rPr>
        <w:t xml:space="preserve">EUR </w:t>
      </w:r>
      <w:r>
        <w:rPr>
          <w:rFonts w:ascii="Arial" w:hAnsi="Arial"/>
          <w:sz w:val="21"/>
          <w:szCs w:val="21"/>
        </w:rPr>
        <w:t>10.7 billion. By implementing extensive cost-</w:t>
      </w:r>
      <w:r w:rsidR="005245C9">
        <w:rPr>
          <w:rFonts w:ascii="Arial" w:hAnsi="Arial"/>
          <w:sz w:val="21"/>
          <w:szCs w:val="21"/>
        </w:rPr>
        <w:t>saving</w:t>
      </w:r>
      <w:r>
        <w:rPr>
          <w:rFonts w:ascii="Arial" w:hAnsi="Arial"/>
          <w:sz w:val="21"/>
          <w:szCs w:val="21"/>
        </w:rPr>
        <w:t xml:space="preserve"> measures, Covestro was able to limit the year-over-year decline in EBITDA to 8.2%, finishing fiscal 2020 as forecast</w:t>
      </w:r>
      <w:r w:rsidR="0018540C">
        <w:rPr>
          <w:rFonts w:ascii="Arial" w:hAnsi="Arial"/>
          <w:sz w:val="21"/>
          <w:szCs w:val="21"/>
        </w:rPr>
        <w:t>ed</w:t>
      </w:r>
      <w:r>
        <w:rPr>
          <w:rFonts w:ascii="Arial" w:hAnsi="Arial"/>
          <w:sz w:val="21"/>
          <w:szCs w:val="21"/>
        </w:rPr>
        <w:t xml:space="preserve"> at approximately EUR 1.5 billion (previous year: approx</w:t>
      </w:r>
      <w:r w:rsidR="008A7F54">
        <w:rPr>
          <w:rFonts w:ascii="Arial" w:hAnsi="Arial"/>
          <w:sz w:val="21"/>
          <w:szCs w:val="21"/>
        </w:rPr>
        <w:t>.</w:t>
      </w:r>
      <w:r>
        <w:rPr>
          <w:rFonts w:ascii="Arial" w:hAnsi="Arial"/>
          <w:sz w:val="21"/>
          <w:szCs w:val="21"/>
        </w:rPr>
        <w:t xml:space="preserve"> EUR</w:t>
      </w:r>
      <w:r w:rsidR="00C7391B">
        <w:rPr>
          <w:rFonts w:ascii="Arial" w:hAnsi="Arial"/>
          <w:sz w:val="21"/>
          <w:szCs w:val="21"/>
        </w:rPr>
        <w:t> </w:t>
      </w:r>
      <w:r>
        <w:rPr>
          <w:rFonts w:ascii="Arial" w:hAnsi="Arial"/>
          <w:sz w:val="21"/>
          <w:szCs w:val="21"/>
        </w:rPr>
        <w:t>1.6</w:t>
      </w:r>
      <w:r w:rsidR="00C7391B">
        <w:rPr>
          <w:rFonts w:ascii="Arial" w:hAnsi="Arial"/>
          <w:sz w:val="21"/>
          <w:szCs w:val="21"/>
        </w:rPr>
        <w:t> </w:t>
      </w:r>
      <w:r>
        <w:rPr>
          <w:rFonts w:ascii="Arial" w:hAnsi="Arial"/>
          <w:sz w:val="21"/>
          <w:szCs w:val="21"/>
        </w:rPr>
        <w:t>billion). Net income reached EUR 459 million (</w:t>
      </w:r>
      <w:r w:rsidR="002A5464">
        <w:rPr>
          <w:rFonts w:ascii="Arial" w:hAnsi="Arial"/>
          <w:sz w:val="21"/>
          <w:szCs w:val="21"/>
        </w:rPr>
        <w:t>–</w:t>
      </w:r>
      <w:r>
        <w:rPr>
          <w:rFonts w:ascii="Arial" w:hAnsi="Arial"/>
          <w:sz w:val="21"/>
          <w:szCs w:val="21"/>
        </w:rPr>
        <w:t xml:space="preserve">16.8%), </w:t>
      </w:r>
      <w:r w:rsidR="00887C4F">
        <w:rPr>
          <w:rFonts w:ascii="Arial" w:hAnsi="Arial"/>
          <w:sz w:val="21"/>
          <w:szCs w:val="21"/>
        </w:rPr>
        <w:t xml:space="preserve">while </w:t>
      </w:r>
      <w:r>
        <w:rPr>
          <w:rFonts w:ascii="Arial" w:hAnsi="Arial"/>
          <w:sz w:val="21"/>
          <w:szCs w:val="21"/>
        </w:rPr>
        <w:t xml:space="preserve">free operating cash flow (FOCF) increased to EUR 530 million (+12.1%). </w:t>
      </w:r>
    </w:p>
    <w:p w14:paraId="72D71B95"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414A07FC" w14:textId="7654DA31"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“We were able to successfully navigate through this highly exceptional year and maintained our ability to act at all times. We took a broad range of measures to protect our employees, keep supply chains running, and expand our strong liquidity position,” sa</w:t>
      </w:r>
      <w:r w:rsidR="00C446BB">
        <w:rPr>
          <w:rFonts w:ascii="Arial" w:hAnsi="Arial"/>
          <w:sz w:val="21"/>
          <w:szCs w:val="21"/>
        </w:rPr>
        <w:t>id</w:t>
      </w:r>
      <w:r>
        <w:rPr>
          <w:rFonts w:ascii="Arial" w:hAnsi="Arial"/>
          <w:sz w:val="21"/>
          <w:szCs w:val="21"/>
        </w:rPr>
        <w:t xml:space="preserve"> CEO Dr. Markus Steilemann. “In fiscal 2020, we therefore were able to actively pursue our strategic goals. We defined our vision to become fully circular and took a major step in this direction with the </w:t>
      </w:r>
      <w:r>
        <w:rPr>
          <w:rFonts w:ascii="Arial" w:hAnsi="Arial"/>
          <w:sz w:val="21"/>
          <w:szCs w:val="21"/>
        </w:rPr>
        <w:lastRenderedPageBreak/>
        <w:t>announced acquisition of the Resins &amp; Functional Materials business from DSM.”</w:t>
      </w:r>
    </w:p>
    <w:p w14:paraId="502114E7"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202BD144" w14:textId="6E43FDC4" w:rsidR="0013230E" w:rsidRDefault="00887C4F"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Earlier in </w:t>
      </w:r>
      <w:r w:rsidR="0013230E">
        <w:rPr>
          <w:rFonts w:ascii="Arial" w:hAnsi="Arial"/>
          <w:sz w:val="21"/>
          <w:szCs w:val="21"/>
        </w:rPr>
        <w:t xml:space="preserve">2020, Covestro announced to become fully circular. To fulfill this long-term vision and embed circularity into all areas of its business activities, the Group decided to focus on four topics: alternative raw materials, innovative recycling, joint solutions, and renewable energies. </w:t>
      </w:r>
    </w:p>
    <w:p w14:paraId="4C07CE08" w14:textId="77777777" w:rsidR="0013230E" w:rsidRPr="000B4CCE" w:rsidRDefault="0013230E" w:rsidP="0013230E">
      <w:pPr>
        <w:pStyle w:val="paragraph"/>
        <w:spacing w:after="0" w:line="300" w:lineRule="atLeast"/>
        <w:textAlignment w:val="baseline"/>
        <w:rPr>
          <w:rFonts w:ascii="Arial" w:hAnsi="Arial" w:cs="Arial"/>
          <w:b/>
          <w:bCs/>
          <w:sz w:val="21"/>
          <w:szCs w:val="21"/>
        </w:rPr>
      </w:pPr>
      <w:r>
        <w:rPr>
          <w:rFonts w:ascii="Arial" w:hAnsi="Arial"/>
          <w:b/>
          <w:bCs/>
          <w:sz w:val="21"/>
          <w:szCs w:val="21"/>
        </w:rPr>
        <w:t>Strong results thanks to consistent measures</w:t>
      </w:r>
    </w:p>
    <w:p w14:paraId="6277E8D0" w14:textId="58B6986A" w:rsidR="0013230E" w:rsidRDefault="0013230E" w:rsidP="0013230E">
      <w:pPr>
        <w:pStyle w:val="paragraph"/>
        <w:spacing w:after="0" w:line="300" w:lineRule="atLeast"/>
        <w:textAlignment w:val="baseline"/>
        <w:rPr>
          <w:rFonts w:ascii="Arial" w:hAnsi="Arial" w:cs="Arial"/>
          <w:sz w:val="21"/>
          <w:szCs w:val="21"/>
        </w:rPr>
      </w:pPr>
      <w:r>
        <w:rPr>
          <w:rFonts w:ascii="Arial" w:hAnsi="Arial"/>
          <w:sz w:val="21"/>
          <w:szCs w:val="21"/>
        </w:rPr>
        <w:t>“The decisive measures we took early on helped considerably in delivering strong results. Backed by a significant recovery in demand from mid-year, we returned to our growth trajectory in the second half of the year and generated earnings that almost reached prior-year level,” sa</w:t>
      </w:r>
      <w:r w:rsidR="007A3CE0">
        <w:rPr>
          <w:rFonts w:ascii="Arial" w:hAnsi="Arial"/>
          <w:sz w:val="21"/>
          <w:szCs w:val="21"/>
        </w:rPr>
        <w:t>id</w:t>
      </w:r>
      <w:r>
        <w:rPr>
          <w:rFonts w:ascii="Arial" w:hAnsi="Arial"/>
          <w:sz w:val="21"/>
          <w:szCs w:val="21"/>
        </w:rPr>
        <w:t xml:space="preserve"> CFO Dr. Thomas Toepfer. “In an environment that is still characterized by uncertainty, we remain cost-conscious and continue to strengthen our efficiency. In addition, </w:t>
      </w:r>
      <w:r w:rsidRPr="0084228F">
        <w:rPr>
          <w:rFonts w:ascii="Arial" w:hAnsi="Arial"/>
          <w:sz w:val="21"/>
          <w:szCs w:val="21"/>
        </w:rPr>
        <w:t xml:space="preserve">we are </w:t>
      </w:r>
      <w:r>
        <w:rPr>
          <w:rFonts w:ascii="Arial" w:hAnsi="Arial"/>
          <w:sz w:val="21"/>
          <w:szCs w:val="21"/>
        </w:rPr>
        <w:t xml:space="preserve">focusing </w:t>
      </w:r>
      <w:r w:rsidRPr="0084228F">
        <w:rPr>
          <w:rFonts w:ascii="Arial" w:hAnsi="Arial"/>
          <w:sz w:val="21"/>
          <w:szCs w:val="21"/>
        </w:rPr>
        <w:t>even more explicit</w:t>
      </w:r>
      <w:r>
        <w:rPr>
          <w:rFonts w:ascii="Arial" w:hAnsi="Arial"/>
          <w:sz w:val="21"/>
          <w:szCs w:val="21"/>
        </w:rPr>
        <w:t xml:space="preserve">ly </w:t>
      </w:r>
      <w:r w:rsidRPr="0084228F">
        <w:rPr>
          <w:rFonts w:ascii="Arial" w:hAnsi="Arial"/>
          <w:sz w:val="21"/>
          <w:szCs w:val="21"/>
        </w:rPr>
        <w:t>on our customers in order to create value</w:t>
      </w:r>
      <w:r>
        <w:rPr>
          <w:rFonts w:ascii="Arial" w:hAnsi="Arial"/>
          <w:sz w:val="21"/>
          <w:szCs w:val="21"/>
        </w:rPr>
        <w:t>.”</w:t>
      </w:r>
    </w:p>
    <w:p w14:paraId="2D2B6096" w14:textId="490E05BA" w:rsidR="0013230E" w:rsidRPr="00FF41EC" w:rsidRDefault="00887C4F" w:rsidP="0013230E">
      <w:pPr>
        <w:pStyle w:val="Kommentartext"/>
        <w:spacing w:line="300" w:lineRule="atLeast"/>
        <w:rPr>
          <w:rFonts w:eastAsia="Times New Roman" w:cs="Arial"/>
          <w:noProof w:val="0"/>
          <w:spacing w:val="0"/>
          <w:kern w:val="0"/>
          <w:sz w:val="21"/>
          <w:szCs w:val="21"/>
        </w:rPr>
      </w:pPr>
      <w:r>
        <w:rPr>
          <w:sz w:val="21"/>
          <w:szCs w:val="21"/>
        </w:rPr>
        <w:t>T</w:t>
      </w:r>
      <w:r w:rsidR="0013230E" w:rsidRPr="000E377F">
        <w:rPr>
          <w:sz w:val="21"/>
          <w:szCs w:val="21"/>
        </w:rPr>
        <w:t xml:space="preserve">o position itself </w:t>
      </w:r>
      <w:r w:rsidR="0013230E">
        <w:rPr>
          <w:sz w:val="21"/>
          <w:szCs w:val="21"/>
        </w:rPr>
        <w:t xml:space="preserve">more </w:t>
      </w:r>
      <w:r w:rsidR="0013230E" w:rsidRPr="000E377F">
        <w:rPr>
          <w:sz w:val="21"/>
          <w:szCs w:val="21"/>
        </w:rPr>
        <w:t xml:space="preserve">robustly in the wake of the coronavirus pandemic and secure liquidity reserves, </w:t>
      </w:r>
      <w:r w:rsidR="0013230E">
        <w:rPr>
          <w:sz w:val="21"/>
          <w:szCs w:val="21"/>
        </w:rPr>
        <w:t>Covestro implemented numerous additional cost-</w:t>
      </w:r>
      <w:r w:rsidR="00313438">
        <w:rPr>
          <w:sz w:val="21"/>
          <w:szCs w:val="21"/>
        </w:rPr>
        <w:t>saving</w:t>
      </w:r>
      <w:r w:rsidR="0013230E">
        <w:rPr>
          <w:sz w:val="21"/>
          <w:szCs w:val="21"/>
        </w:rPr>
        <w:t xml:space="preserve"> measures last year. As a result, the Group saved a total of </w:t>
      </w:r>
      <w:r w:rsidR="0013230E" w:rsidRPr="00D741C4">
        <w:rPr>
          <w:sz w:val="21"/>
          <w:szCs w:val="21"/>
        </w:rPr>
        <w:t>EUR</w:t>
      </w:r>
      <w:r w:rsidR="00C7391B">
        <w:rPr>
          <w:sz w:val="21"/>
          <w:szCs w:val="21"/>
        </w:rPr>
        <w:t> </w:t>
      </w:r>
      <w:r w:rsidR="0013230E" w:rsidRPr="00D5743A">
        <w:rPr>
          <w:sz w:val="21"/>
          <w:szCs w:val="21"/>
        </w:rPr>
        <w:t>360</w:t>
      </w:r>
      <w:r w:rsidR="00C7391B">
        <w:rPr>
          <w:sz w:val="21"/>
          <w:szCs w:val="21"/>
        </w:rPr>
        <w:t xml:space="preserve"> </w:t>
      </w:r>
      <w:r w:rsidR="0013230E">
        <w:rPr>
          <w:sz w:val="21"/>
          <w:szCs w:val="21"/>
        </w:rPr>
        <w:t xml:space="preserve">million in the short term. The efficiency program “Perspective” launched in 2018 also contributed EUR 130 million in savings in fiscal 2020 and was wrapped up at year-end as announced. </w:t>
      </w:r>
    </w:p>
    <w:p w14:paraId="742518FB" w14:textId="7BDBE6DB" w:rsidR="0013230E" w:rsidRDefault="0013230E" w:rsidP="0013230E">
      <w:pPr>
        <w:pStyle w:val="paragraph"/>
        <w:spacing w:after="0" w:line="300" w:lineRule="atLeast"/>
        <w:textAlignment w:val="baseline"/>
        <w:rPr>
          <w:rFonts w:ascii="Arial" w:hAnsi="Arial" w:cs="Arial"/>
          <w:b/>
          <w:bCs/>
          <w:sz w:val="21"/>
          <w:szCs w:val="21"/>
        </w:rPr>
      </w:pPr>
      <w:r>
        <w:rPr>
          <w:rFonts w:ascii="Arial" w:hAnsi="Arial"/>
          <w:sz w:val="21"/>
          <w:szCs w:val="21"/>
        </w:rPr>
        <w:t xml:space="preserve">Covestro also pursued various types of financing measures in 2020. In doing so, the Group has aligned its financial instruments with its sustainability performance wherever possible to </w:t>
      </w:r>
      <w:r w:rsidRPr="00241E52">
        <w:rPr>
          <w:rFonts w:ascii="Arial" w:hAnsi="Arial"/>
          <w:sz w:val="21"/>
          <w:szCs w:val="21"/>
        </w:rPr>
        <w:t>under</w:t>
      </w:r>
      <w:r>
        <w:rPr>
          <w:rFonts w:ascii="Arial" w:hAnsi="Arial"/>
          <w:sz w:val="21"/>
          <w:szCs w:val="21"/>
        </w:rPr>
        <w:t xml:space="preserve">score </w:t>
      </w:r>
      <w:r w:rsidRPr="00241E52">
        <w:rPr>
          <w:rFonts w:ascii="Arial" w:hAnsi="Arial"/>
          <w:sz w:val="21"/>
          <w:szCs w:val="21"/>
        </w:rPr>
        <w:t>its commitment to greater sustainability</w:t>
      </w:r>
      <w:r>
        <w:rPr>
          <w:rFonts w:ascii="Arial" w:hAnsi="Arial"/>
          <w:sz w:val="21"/>
          <w:szCs w:val="21"/>
        </w:rPr>
        <w:t>. The syndicated credit facility of EUR</w:t>
      </w:r>
      <w:r w:rsidR="00C7391B">
        <w:rPr>
          <w:rFonts w:ascii="Arial" w:hAnsi="Arial"/>
          <w:sz w:val="21"/>
          <w:szCs w:val="21"/>
        </w:rPr>
        <w:t> </w:t>
      </w:r>
      <w:r>
        <w:rPr>
          <w:rFonts w:ascii="Arial" w:hAnsi="Arial"/>
          <w:sz w:val="21"/>
          <w:szCs w:val="21"/>
        </w:rPr>
        <w:t>2.5</w:t>
      </w:r>
      <w:r w:rsidR="00C7391B">
        <w:rPr>
          <w:rFonts w:ascii="Arial" w:hAnsi="Arial"/>
          <w:sz w:val="21"/>
          <w:szCs w:val="21"/>
        </w:rPr>
        <w:t> </w:t>
      </w:r>
      <w:r>
        <w:rPr>
          <w:rFonts w:ascii="Arial" w:hAnsi="Arial"/>
          <w:sz w:val="21"/>
          <w:szCs w:val="21"/>
        </w:rPr>
        <w:t>billion, signed in March 2020, was linked with an Environment, Social, Governance (ESG) rating, for instance. The better Covestro’s ESG performance is, the lower the interest component of the credit facility will be.</w:t>
      </w:r>
    </w:p>
    <w:p w14:paraId="4E3C41C1"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b/>
          <w:bCs/>
          <w:sz w:val="21"/>
          <w:szCs w:val="21"/>
        </w:rPr>
        <w:t xml:space="preserve">Realignment of the strategy: Vision as guiding principle  </w:t>
      </w:r>
    </w:p>
    <w:p w14:paraId="78B36A98"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160D2F20"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With the clear goal of becoming fully circular </w:t>
      </w:r>
      <w:r w:rsidRPr="007713B2">
        <w:rPr>
          <w:rFonts w:ascii="Arial" w:hAnsi="Arial"/>
          <w:sz w:val="21"/>
          <w:szCs w:val="21"/>
        </w:rPr>
        <w:t xml:space="preserve">and as </w:t>
      </w:r>
      <w:r>
        <w:rPr>
          <w:rFonts w:ascii="Arial" w:hAnsi="Arial"/>
          <w:sz w:val="21"/>
          <w:szCs w:val="21"/>
        </w:rPr>
        <w:t xml:space="preserve">an answer to </w:t>
      </w:r>
      <w:r w:rsidRPr="007713B2">
        <w:rPr>
          <w:rFonts w:ascii="Arial" w:hAnsi="Arial"/>
          <w:sz w:val="21"/>
          <w:szCs w:val="21"/>
        </w:rPr>
        <w:t xml:space="preserve">changing market expectations, Covestro has </w:t>
      </w:r>
      <w:r>
        <w:rPr>
          <w:rFonts w:ascii="Arial" w:hAnsi="Arial"/>
          <w:sz w:val="21"/>
          <w:szCs w:val="21"/>
        </w:rPr>
        <w:t>consequently</w:t>
      </w:r>
      <w:r w:rsidRPr="007713B2">
        <w:rPr>
          <w:rFonts w:ascii="Arial" w:hAnsi="Arial"/>
          <w:sz w:val="21"/>
          <w:szCs w:val="21"/>
        </w:rPr>
        <w:t xml:space="preserve"> </w:t>
      </w:r>
      <w:r>
        <w:rPr>
          <w:rFonts w:ascii="Arial" w:hAnsi="Arial"/>
          <w:sz w:val="21"/>
          <w:szCs w:val="21"/>
        </w:rPr>
        <w:t>aligned</w:t>
      </w:r>
      <w:r w:rsidRPr="007713B2">
        <w:rPr>
          <w:rFonts w:ascii="Arial" w:hAnsi="Arial"/>
          <w:sz w:val="21"/>
          <w:szCs w:val="21"/>
        </w:rPr>
        <w:t xml:space="preserve"> its Group strategy</w:t>
      </w:r>
      <w:r>
        <w:rPr>
          <w:rFonts w:ascii="Arial" w:hAnsi="Arial"/>
          <w:sz w:val="21"/>
          <w:szCs w:val="21"/>
        </w:rPr>
        <w:t xml:space="preserve">. </w:t>
      </w:r>
    </w:p>
    <w:p w14:paraId="12D5934D"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2680BF0D"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This effort is centered on increased customer orientation and sustainable growth. Starting on July 1, 2021, Covestro will manage its business in a new, tailored structure around seven business entities aligned to customer needs and the competitive landscape. Going forward, the Group will distinguish </w:t>
      </w:r>
      <w:r>
        <w:rPr>
          <w:rFonts w:ascii="Arial" w:hAnsi="Arial"/>
          <w:sz w:val="21"/>
          <w:szCs w:val="21"/>
        </w:rPr>
        <w:lastRenderedPageBreak/>
        <w:t xml:space="preserve">between two business areas, Performance Materials as well as Solutions and Specialties. </w:t>
      </w:r>
    </w:p>
    <w:p w14:paraId="342E138A" w14:textId="77777777" w:rsidR="0013230E" w:rsidRPr="00C82980" w:rsidRDefault="0013230E" w:rsidP="0013230E">
      <w:pPr>
        <w:pStyle w:val="paragraph"/>
        <w:spacing w:before="0" w:beforeAutospacing="0" w:after="0" w:afterAutospacing="0" w:line="300" w:lineRule="atLeast"/>
        <w:textAlignment w:val="baseline"/>
        <w:rPr>
          <w:rFonts w:ascii="Arial" w:hAnsi="Arial" w:cs="Arial"/>
          <w:b/>
          <w:bCs/>
          <w:sz w:val="21"/>
          <w:szCs w:val="21"/>
        </w:rPr>
      </w:pPr>
    </w:p>
    <w:p w14:paraId="66B0695A" w14:textId="77777777" w:rsidR="0013230E" w:rsidRDefault="0013230E" w:rsidP="0013230E">
      <w:pPr>
        <w:pStyle w:val="paragraph"/>
        <w:numPr>
          <w:ilvl w:val="1"/>
          <w:numId w:val="5"/>
        </w:numPr>
        <w:spacing w:before="0" w:beforeAutospacing="0" w:after="0" w:afterAutospacing="0" w:line="300" w:lineRule="atLeast"/>
        <w:ind w:left="284" w:hanging="284"/>
        <w:textAlignment w:val="baseline"/>
        <w:rPr>
          <w:rFonts w:ascii="Arial" w:hAnsi="Arial"/>
          <w:sz w:val="21"/>
          <w:szCs w:val="21"/>
        </w:rPr>
      </w:pPr>
      <w:r w:rsidRPr="00C82980">
        <w:rPr>
          <w:rFonts w:ascii="Arial" w:hAnsi="Arial"/>
          <w:b/>
          <w:bCs/>
          <w:sz w:val="21"/>
          <w:szCs w:val="21"/>
        </w:rPr>
        <w:t>Performance Materials:</w:t>
      </w:r>
      <w:r>
        <w:rPr>
          <w:rFonts w:ascii="Arial" w:hAnsi="Arial"/>
          <w:sz w:val="21"/>
          <w:szCs w:val="21"/>
        </w:rPr>
        <w:t xml:space="preserve"> This area will form a separate business entity and will comprise Standard Polycarbonates, Standard Urethane Components, and Basic Chemicals. </w:t>
      </w:r>
    </w:p>
    <w:p w14:paraId="18C681D5" w14:textId="77777777" w:rsidR="0013230E" w:rsidRDefault="0013230E" w:rsidP="0013230E">
      <w:pPr>
        <w:pStyle w:val="paragraph"/>
        <w:numPr>
          <w:ilvl w:val="1"/>
          <w:numId w:val="5"/>
        </w:numPr>
        <w:spacing w:before="0" w:beforeAutospacing="0" w:after="0" w:afterAutospacing="0" w:line="300" w:lineRule="atLeast"/>
        <w:ind w:left="284" w:hanging="284"/>
        <w:textAlignment w:val="baseline"/>
        <w:rPr>
          <w:rFonts w:ascii="Arial" w:hAnsi="Arial" w:cs="Arial"/>
          <w:sz w:val="21"/>
          <w:szCs w:val="21"/>
        </w:rPr>
      </w:pPr>
      <w:r w:rsidRPr="006C78AB">
        <w:rPr>
          <w:rFonts w:ascii="Arial" w:hAnsi="Arial" w:cs="Arial"/>
          <w:b/>
          <w:bCs/>
          <w:sz w:val="21"/>
          <w:szCs w:val="21"/>
        </w:rPr>
        <w:t>Solutions and Specialties</w:t>
      </w:r>
      <w:r w:rsidRPr="006C78AB">
        <w:rPr>
          <w:rFonts w:ascii="Arial" w:hAnsi="Arial" w:cs="Arial"/>
          <w:sz w:val="21"/>
          <w:szCs w:val="21"/>
        </w:rPr>
        <w:t>: This area will consist of the six new business entities Tailored Urethanes, Coatings and Adhesives, Engineering Plastics, Specialty Films, Elastomers, and Thermoplastic Polyurethanes</w:t>
      </w:r>
      <w:r>
        <w:rPr>
          <w:rFonts w:ascii="Arial" w:hAnsi="Arial" w:cs="Arial"/>
          <w:sz w:val="21"/>
          <w:szCs w:val="21"/>
        </w:rPr>
        <w:t>.</w:t>
      </w:r>
    </w:p>
    <w:p w14:paraId="126F7D95" w14:textId="77777777" w:rsidR="0013230E" w:rsidRPr="006C78AB" w:rsidRDefault="0013230E" w:rsidP="0013230E">
      <w:pPr>
        <w:pStyle w:val="paragraph"/>
        <w:spacing w:before="0" w:beforeAutospacing="0" w:after="0" w:afterAutospacing="0" w:line="300" w:lineRule="atLeast"/>
        <w:ind w:left="284"/>
        <w:textAlignment w:val="baseline"/>
        <w:rPr>
          <w:rFonts w:ascii="Arial" w:hAnsi="Arial" w:cs="Arial"/>
          <w:sz w:val="21"/>
          <w:szCs w:val="21"/>
        </w:rPr>
      </w:pPr>
    </w:p>
    <w:p w14:paraId="5A316F41"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Covestro is combining the consistent alignment of products and processes with its customers’ needs with an even sharper focus on addressing sustainability in a profitable way. In the future, the Group will apply sustainability criteria even more stringently when undertaking investments, acquisitions, and R&amp;D activities. As part of its transition towards a circular economy, Covestro is also expanding its portfolio of circular products.</w:t>
      </w:r>
    </w:p>
    <w:p w14:paraId="3585FE4F"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7079F38A"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“Our vision to become fully circular is charting the direction of our new Group strategy. The new structure is creating an optimal starting point for the future and will position us to become significantly more competitive,” according to Steilemann. “This will enable us to better meet our customers’ needs, make our company more efficient and effective, and generate sustainable growth. We are truly </w:t>
      </w:r>
      <w:r w:rsidRPr="00DD303C">
        <w:rPr>
          <w:rFonts w:ascii="Arial" w:hAnsi="Arial"/>
          <w:sz w:val="21"/>
          <w:szCs w:val="21"/>
        </w:rPr>
        <w:t xml:space="preserve">driving </w:t>
      </w:r>
      <w:r>
        <w:rPr>
          <w:rFonts w:ascii="Arial" w:hAnsi="Arial"/>
          <w:sz w:val="21"/>
          <w:szCs w:val="21"/>
        </w:rPr>
        <w:t xml:space="preserve">forward </w:t>
      </w:r>
      <w:r w:rsidRPr="00DD303C">
        <w:rPr>
          <w:rFonts w:ascii="Arial" w:hAnsi="Arial"/>
          <w:sz w:val="21"/>
          <w:szCs w:val="21"/>
        </w:rPr>
        <w:t>the transformation toward</w:t>
      </w:r>
      <w:r>
        <w:rPr>
          <w:rFonts w:ascii="Arial" w:hAnsi="Arial"/>
          <w:sz w:val="21"/>
          <w:szCs w:val="21"/>
        </w:rPr>
        <w:t>s</w:t>
      </w:r>
      <w:r w:rsidRPr="00DD303C">
        <w:rPr>
          <w:rFonts w:ascii="Arial" w:hAnsi="Arial"/>
          <w:sz w:val="21"/>
          <w:szCs w:val="21"/>
        </w:rPr>
        <w:t xml:space="preserve"> </w:t>
      </w:r>
      <w:r>
        <w:rPr>
          <w:rFonts w:ascii="Arial" w:hAnsi="Arial"/>
          <w:sz w:val="21"/>
          <w:szCs w:val="21"/>
        </w:rPr>
        <w:t>a</w:t>
      </w:r>
      <w:r w:rsidRPr="00DD303C">
        <w:rPr>
          <w:rFonts w:ascii="Arial" w:hAnsi="Arial"/>
          <w:sz w:val="21"/>
          <w:szCs w:val="21"/>
        </w:rPr>
        <w:t xml:space="preserve"> circular economy."</w:t>
      </w:r>
    </w:p>
    <w:p w14:paraId="1180E2FB"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189075C0" w14:textId="77777777" w:rsidR="0013230E" w:rsidRPr="00BF6A39" w:rsidRDefault="0013230E" w:rsidP="0013230E">
      <w:pPr>
        <w:pStyle w:val="paragraph"/>
        <w:spacing w:before="0" w:beforeAutospacing="0" w:after="0" w:afterAutospacing="0" w:line="300" w:lineRule="atLeast"/>
        <w:textAlignment w:val="baseline"/>
        <w:rPr>
          <w:rFonts w:ascii="Arial" w:hAnsi="Arial" w:cs="Arial"/>
          <w:b/>
          <w:bCs/>
          <w:sz w:val="21"/>
          <w:szCs w:val="21"/>
        </w:rPr>
      </w:pPr>
      <w:r w:rsidRPr="00BF6A39">
        <w:rPr>
          <w:rFonts w:ascii="Arial" w:hAnsi="Arial"/>
          <w:b/>
          <w:bCs/>
          <w:sz w:val="21"/>
          <w:szCs w:val="21"/>
        </w:rPr>
        <w:t xml:space="preserve">New dividend policy </w:t>
      </w:r>
      <w:r>
        <w:rPr>
          <w:rFonts w:ascii="Arial" w:hAnsi="Arial"/>
          <w:b/>
          <w:bCs/>
          <w:sz w:val="21"/>
          <w:szCs w:val="21"/>
        </w:rPr>
        <w:t>with stronger focus on Group’s earnings</w:t>
      </w:r>
    </w:p>
    <w:p w14:paraId="5FC34862" w14:textId="59D52CFD" w:rsidR="0013230E" w:rsidRPr="00C82980" w:rsidRDefault="0013230E" w:rsidP="0013230E">
      <w:pPr>
        <w:pStyle w:val="paragraph"/>
        <w:spacing w:after="0" w:line="300" w:lineRule="atLeast"/>
        <w:textAlignment w:val="baseline"/>
        <w:rPr>
          <w:rFonts w:ascii="Arial" w:hAnsi="Arial" w:cs="Arial"/>
          <w:sz w:val="21"/>
          <w:szCs w:val="21"/>
        </w:rPr>
      </w:pPr>
      <w:r w:rsidRPr="009E2235">
        <w:rPr>
          <w:rFonts w:ascii="Arial" w:hAnsi="Arial"/>
          <w:sz w:val="21"/>
          <w:szCs w:val="21"/>
        </w:rPr>
        <w:t>Covestro is setting its dividend payout on a new basis.</w:t>
      </w:r>
      <w:r>
        <w:rPr>
          <w:rFonts w:ascii="Arial" w:hAnsi="Arial"/>
          <w:sz w:val="21"/>
          <w:szCs w:val="21"/>
        </w:rPr>
        <w:t xml:space="preserve"> </w:t>
      </w:r>
      <w:r w:rsidRPr="002B2EEE">
        <w:rPr>
          <w:rFonts w:ascii="Arial" w:hAnsi="Arial"/>
          <w:sz w:val="21"/>
          <w:szCs w:val="21"/>
        </w:rPr>
        <w:t xml:space="preserve">The dividend policy is based more strongly on the Group's earnings, with the dividend </w:t>
      </w:r>
      <w:r w:rsidR="006E1952">
        <w:rPr>
          <w:rFonts w:ascii="Arial" w:hAnsi="Arial"/>
          <w:sz w:val="21"/>
          <w:szCs w:val="21"/>
        </w:rPr>
        <w:t>payout ratio</w:t>
      </w:r>
      <w:r w:rsidRPr="002B2EEE">
        <w:rPr>
          <w:rFonts w:ascii="Arial" w:hAnsi="Arial"/>
          <w:sz w:val="21"/>
          <w:szCs w:val="21"/>
        </w:rPr>
        <w:t xml:space="preserve"> amounting to 35% to 55% of the net income generated by the</w:t>
      </w:r>
      <w:r w:rsidRPr="00BF6A39">
        <w:rPr>
          <w:rFonts w:ascii="Arial" w:hAnsi="Arial"/>
          <w:sz w:val="21"/>
          <w:szCs w:val="21"/>
        </w:rPr>
        <w:t xml:space="preserve"> Group. “This dividend policy is more closely linked to Covestro's overall financial position and enables us to increase the dividend in years with strong earnings,” Toepfer sa</w:t>
      </w:r>
      <w:r w:rsidR="007A3CE0">
        <w:rPr>
          <w:rFonts w:ascii="Arial" w:hAnsi="Arial"/>
          <w:sz w:val="21"/>
          <w:szCs w:val="21"/>
        </w:rPr>
        <w:t>id</w:t>
      </w:r>
      <w:r w:rsidRPr="00BF6A39">
        <w:rPr>
          <w:rFonts w:ascii="Arial" w:hAnsi="Arial"/>
          <w:sz w:val="21"/>
          <w:szCs w:val="21"/>
        </w:rPr>
        <w:t xml:space="preserve">. Based on current performance, Covestro plans to distribute a dividend of EUR 1.30 per share for fiscal 2020. </w:t>
      </w:r>
      <w:r w:rsidRPr="005372F5">
        <w:rPr>
          <w:rFonts w:ascii="Arial" w:hAnsi="Arial"/>
          <w:sz w:val="21"/>
          <w:szCs w:val="21"/>
        </w:rPr>
        <w:t>This corresponds to a payout ratio of 55%.</w:t>
      </w:r>
    </w:p>
    <w:p w14:paraId="61BCB6FC" w14:textId="77777777" w:rsidR="0013230E" w:rsidRDefault="0013230E" w:rsidP="0013230E">
      <w:pPr>
        <w:pStyle w:val="paragraph"/>
        <w:spacing w:before="0" w:beforeAutospacing="0" w:after="0" w:afterAutospacing="0" w:line="300" w:lineRule="atLeast"/>
        <w:textAlignment w:val="baseline"/>
        <w:rPr>
          <w:rStyle w:val="normaltextrun"/>
          <w:rFonts w:ascii="Arial" w:hAnsi="Arial"/>
          <w:b/>
          <w:bCs/>
          <w:sz w:val="21"/>
          <w:szCs w:val="21"/>
        </w:rPr>
      </w:pPr>
      <w:r>
        <w:rPr>
          <w:rFonts w:ascii="Arial" w:hAnsi="Arial"/>
          <w:b/>
          <w:bCs/>
          <w:sz w:val="21"/>
          <w:szCs w:val="21"/>
        </w:rPr>
        <w:t xml:space="preserve">Guidance 2021: </w:t>
      </w:r>
      <w:r>
        <w:rPr>
          <w:rStyle w:val="normaltextrun"/>
          <w:rFonts w:ascii="Arial" w:hAnsi="Arial"/>
          <w:b/>
          <w:bCs/>
          <w:sz w:val="21"/>
          <w:szCs w:val="21"/>
        </w:rPr>
        <w:t xml:space="preserve">Fiscal year </w:t>
      </w:r>
      <w:r w:rsidRPr="00AF119A">
        <w:rPr>
          <w:rStyle w:val="normaltextrun"/>
          <w:rFonts w:ascii="Arial" w:hAnsi="Arial"/>
          <w:b/>
          <w:bCs/>
          <w:sz w:val="21"/>
          <w:szCs w:val="21"/>
        </w:rPr>
        <w:t>above pre-pandemic level</w:t>
      </w:r>
      <w:r>
        <w:rPr>
          <w:rStyle w:val="normaltextrun"/>
          <w:rFonts w:ascii="Arial" w:hAnsi="Arial"/>
          <w:b/>
          <w:bCs/>
          <w:sz w:val="21"/>
          <w:szCs w:val="21"/>
        </w:rPr>
        <w:t xml:space="preserve"> 2019 expected</w:t>
      </w:r>
    </w:p>
    <w:p w14:paraId="1FC4C428" w14:textId="77777777" w:rsidR="0013230E" w:rsidRDefault="0013230E" w:rsidP="0013230E">
      <w:pPr>
        <w:pStyle w:val="paragraph"/>
        <w:spacing w:before="0" w:beforeAutospacing="0" w:after="0" w:afterAutospacing="0" w:line="300" w:lineRule="atLeast"/>
        <w:textAlignment w:val="baseline"/>
        <w:rPr>
          <w:rStyle w:val="normaltextrun"/>
          <w:rFonts w:ascii="Arial" w:hAnsi="Arial"/>
          <w:b/>
          <w:bCs/>
          <w:sz w:val="21"/>
          <w:szCs w:val="21"/>
        </w:rPr>
      </w:pPr>
    </w:p>
    <w:p w14:paraId="5AA5E781" w14:textId="18762389"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For fiscal 2021, Covestro expects core volume growth of between 10% and 15%. </w:t>
      </w:r>
      <w:r w:rsidRPr="005372F5">
        <w:rPr>
          <w:rFonts w:ascii="Arial" w:hAnsi="Arial"/>
          <w:sz w:val="21"/>
          <w:szCs w:val="21"/>
        </w:rPr>
        <w:t>Around 6</w:t>
      </w:r>
      <w:r w:rsidR="00FD47A3">
        <w:rPr>
          <w:rFonts w:ascii="Arial" w:hAnsi="Arial"/>
          <w:sz w:val="21"/>
          <w:szCs w:val="21"/>
        </w:rPr>
        <w:t xml:space="preserve"> percentage </w:t>
      </w:r>
      <w:r w:rsidR="00603752">
        <w:rPr>
          <w:rFonts w:ascii="Arial" w:hAnsi="Arial"/>
          <w:sz w:val="21"/>
          <w:szCs w:val="21"/>
        </w:rPr>
        <w:t>points</w:t>
      </w:r>
      <w:r w:rsidRPr="005372F5">
        <w:rPr>
          <w:rFonts w:ascii="Arial" w:hAnsi="Arial"/>
          <w:sz w:val="21"/>
          <w:szCs w:val="21"/>
        </w:rPr>
        <w:t xml:space="preserve"> of this figure </w:t>
      </w:r>
      <w:r w:rsidR="00603752">
        <w:rPr>
          <w:rFonts w:ascii="Arial" w:hAnsi="Arial"/>
          <w:sz w:val="21"/>
          <w:szCs w:val="21"/>
        </w:rPr>
        <w:t>are</w:t>
      </w:r>
      <w:r w:rsidRPr="005372F5">
        <w:rPr>
          <w:rFonts w:ascii="Arial" w:hAnsi="Arial"/>
          <w:sz w:val="21"/>
          <w:szCs w:val="21"/>
        </w:rPr>
        <w:t xml:space="preserve"> attributable to the planned acquisition of the Resins &amp; Functional Materials (RFM) business from DSM</w:t>
      </w:r>
      <w:r w:rsidR="0095161C">
        <w:rPr>
          <w:rFonts w:ascii="Arial" w:hAnsi="Arial"/>
          <w:sz w:val="21"/>
          <w:szCs w:val="21"/>
        </w:rPr>
        <w:t xml:space="preserve">, </w:t>
      </w:r>
      <w:r w:rsidR="00277677">
        <w:rPr>
          <w:rFonts w:ascii="Arial" w:hAnsi="Arial"/>
          <w:sz w:val="21"/>
          <w:szCs w:val="21"/>
        </w:rPr>
        <w:t>that the Group announced</w:t>
      </w:r>
      <w:r w:rsidRPr="005372F5">
        <w:rPr>
          <w:rFonts w:ascii="Arial" w:hAnsi="Arial"/>
          <w:sz w:val="21"/>
          <w:szCs w:val="21"/>
        </w:rPr>
        <w:t>.</w:t>
      </w:r>
      <w:r>
        <w:rPr>
          <w:rFonts w:ascii="Arial" w:hAnsi="Arial"/>
          <w:sz w:val="21"/>
          <w:szCs w:val="21"/>
        </w:rPr>
        <w:t xml:space="preserve"> Moreover, Covestro forecasts FOCF at between EUR 900 million and EUR 1.4 billion, with ROCE between 7% and 12%. The Group's EBITDA for full-year 2021 is anticipated to come in at between </w:t>
      </w:r>
      <w:r>
        <w:rPr>
          <w:rFonts w:ascii="Arial" w:hAnsi="Arial"/>
          <w:sz w:val="21"/>
          <w:szCs w:val="21"/>
        </w:rPr>
        <w:lastRenderedPageBreak/>
        <w:t>EUR</w:t>
      </w:r>
      <w:r w:rsidR="00AB3865">
        <w:rPr>
          <w:rFonts w:ascii="Arial" w:hAnsi="Arial"/>
          <w:sz w:val="21"/>
          <w:szCs w:val="21"/>
        </w:rPr>
        <w:t> </w:t>
      </w:r>
      <w:r>
        <w:rPr>
          <w:rFonts w:ascii="Arial" w:hAnsi="Arial"/>
          <w:sz w:val="21"/>
          <w:szCs w:val="21"/>
        </w:rPr>
        <w:t>1.7</w:t>
      </w:r>
      <w:r w:rsidR="00AB3865">
        <w:rPr>
          <w:rFonts w:ascii="Arial" w:hAnsi="Arial"/>
          <w:sz w:val="21"/>
          <w:szCs w:val="21"/>
        </w:rPr>
        <w:t> </w:t>
      </w:r>
      <w:r>
        <w:rPr>
          <w:rFonts w:ascii="Arial" w:hAnsi="Arial"/>
          <w:sz w:val="21"/>
          <w:szCs w:val="21"/>
        </w:rPr>
        <w:t>billion and EUR</w:t>
      </w:r>
      <w:r w:rsidR="00AB3865">
        <w:rPr>
          <w:rFonts w:ascii="Arial" w:hAnsi="Arial"/>
          <w:sz w:val="21"/>
          <w:szCs w:val="21"/>
        </w:rPr>
        <w:t> </w:t>
      </w:r>
      <w:r>
        <w:rPr>
          <w:rFonts w:ascii="Arial" w:hAnsi="Arial"/>
          <w:sz w:val="21"/>
          <w:szCs w:val="21"/>
        </w:rPr>
        <w:t>2.2</w:t>
      </w:r>
      <w:r w:rsidR="00AB3865">
        <w:rPr>
          <w:rFonts w:ascii="Arial" w:hAnsi="Arial"/>
          <w:sz w:val="21"/>
          <w:szCs w:val="21"/>
        </w:rPr>
        <w:t> </w:t>
      </w:r>
      <w:r>
        <w:rPr>
          <w:rFonts w:ascii="Arial" w:hAnsi="Arial"/>
          <w:sz w:val="21"/>
          <w:szCs w:val="21"/>
        </w:rPr>
        <w:t xml:space="preserve">billion. In the first quarter of 2021, the EBITDA range is projected to be </w:t>
      </w:r>
      <w:r w:rsidRPr="009942FF">
        <w:rPr>
          <w:rFonts w:ascii="Arial" w:hAnsi="Arial"/>
          <w:sz w:val="21"/>
          <w:szCs w:val="21"/>
        </w:rPr>
        <w:t>EUR</w:t>
      </w:r>
      <w:r w:rsidR="00AB3865">
        <w:rPr>
          <w:rFonts w:ascii="Arial" w:hAnsi="Arial"/>
          <w:sz w:val="21"/>
          <w:szCs w:val="21"/>
        </w:rPr>
        <w:t> </w:t>
      </w:r>
      <w:r w:rsidRPr="002B2EEE">
        <w:rPr>
          <w:rFonts w:ascii="Arial" w:hAnsi="Arial"/>
          <w:sz w:val="21"/>
          <w:szCs w:val="21"/>
        </w:rPr>
        <w:t>7</w:t>
      </w:r>
      <w:r w:rsidR="00F54349">
        <w:rPr>
          <w:rFonts w:ascii="Arial" w:hAnsi="Arial"/>
          <w:sz w:val="21"/>
          <w:szCs w:val="21"/>
        </w:rPr>
        <w:t>0</w:t>
      </w:r>
      <w:r w:rsidRPr="002B2EEE">
        <w:rPr>
          <w:rFonts w:ascii="Arial" w:hAnsi="Arial"/>
          <w:sz w:val="21"/>
          <w:szCs w:val="21"/>
        </w:rPr>
        <w:t>0</w:t>
      </w:r>
      <w:r w:rsidR="00AB3865">
        <w:rPr>
          <w:rFonts w:ascii="Arial" w:hAnsi="Arial"/>
          <w:sz w:val="21"/>
          <w:szCs w:val="21"/>
        </w:rPr>
        <w:t> </w:t>
      </w:r>
      <w:r w:rsidRPr="002B2EEE">
        <w:rPr>
          <w:rFonts w:ascii="Arial" w:hAnsi="Arial"/>
          <w:sz w:val="21"/>
          <w:szCs w:val="21"/>
        </w:rPr>
        <w:t>million to EUR</w:t>
      </w:r>
      <w:r w:rsidR="00AB3865">
        <w:rPr>
          <w:rFonts w:ascii="Arial" w:hAnsi="Arial"/>
          <w:sz w:val="21"/>
          <w:szCs w:val="21"/>
        </w:rPr>
        <w:t> </w:t>
      </w:r>
      <w:r w:rsidR="00F54349">
        <w:rPr>
          <w:rFonts w:ascii="Arial" w:hAnsi="Arial"/>
          <w:sz w:val="21"/>
          <w:szCs w:val="21"/>
        </w:rPr>
        <w:t>78</w:t>
      </w:r>
      <w:r w:rsidRPr="002B2EEE">
        <w:rPr>
          <w:rFonts w:ascii="Arial" w:hAnsi="Arial"/>
          <w:sz w:val="21"/>
          <w:szCs w:val="21"/>
        </w:rPr>
        <w:t>0 million.</w:t>
      </w:r>
    </w:p>
    <w:p w14:paraId="29AF29D0" w14:textId="77777777" w:rsidR="0013230E" w:rsidRDefault="0013230E" w:rsidP="0013230E">
      <w:pPr>
        <w:pStyle w:val="paragraph"/>
        <w:spacing w:before="0" w:beforeAutospacing="0" w:after="0" w:afterAutospacing="0" w:line="300" w:lineRule="atLeast"/>
        <w:textAlignment w:val="baseline"/>
        <w:rPr>
          <w:rFonts w:ascii="Arial" w:hAnsi="Arial" w:cs="Arial"/>
          <w:b/>
          <w:bCs/>
          <w:sz w:val="21"/>
          <w:szCs w:val="21"/>
        </w:rPr>
      </w:pPr>
    </w:p>
    <w:p w14:paraId="3FE3E442" w14:textId="77777777" w:rsidR="0013230E" w:rsidRDefault="0013230E" w:rsidP="0013230E">
      <w:pPr>
        <w:pStyle w:val="paragraph"/>
        <w:spacing w:before="0" w:beforeAutospacing="0" w:after="0" w:afterAutospacing="0" w:line="300" w:lineRule="atLeast"/>
        <w:textAlignment w:val="baseline"/>
        <w:rPr>
          <w:rFonts w:ascii="Arial" w:hAnsi="Arial" w:cs="Arial"/>
          <w:b/>
          <w:bCs/>
          <w:sz w:val="21"/>
          <w:szCs w:val="21"/>
        </w:rPr>
      </w:pPr>
      <w:r>
        <w:rPr>
          <w:rFonts w:ascii="Arial" w:hAnsi="Arial"/>
          <w:b/>
          <w:bCs/>
          <w:sz w:val="21"/>
          <w:szCs w:val="21"/>
        </w:rPr>
        <w:t>Recovery in demand across all segments in second half of 2020</w:t>
      </w:r>
    </w:p>
    <w:p w14:paraId="24B88DB2"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5720B7B6" w14:textId="12685920"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The Polyurethanes segment saw core volumes sold decline by 6.1% in fiscal year 2020. </w:t>
      </w:r>
      <w:r w:rsidR="005F24C9" w:rsidRPr="005F24C9">
        <w:rPr>
          <w:rFonts w:ascii="Arial" w:hAnsi="Arial"/>
          <w:sz w:val="21"/>
          <w:szCs w:val="21"/>
        </w:rPr>
        <w:t xml:space="preserve">Following a drop in demand in the first half of the year due to the </w:t>
      </w:r>
      <w:r w:rsidR="005F24C9">
        <w:rPr>
          <w:rFonts w:ascii="Arial" w:hAnsi="Arial"/>
          <w:sz w:val="21"/>
          <w:szCs w:val="21"/>
        </w:rPr>
        <w:t xml:space="preserve">coronavirus </w:t>
      </w:r>
      <w:r w:rsidR="005F24C9" w:rsidRPr="005F24C9">
        <w:rPr>
          <w:rFonts w:ascii="Arial" w:hAnsi="Arial"/>
          <w:sz w:val="21"/>
          <w:szCs w:val="21"/>
        </w:rPr>
        <w:t>pandemic, a significant improvement in demand and an advantageous competitive situation in the second half of the year led to an increase in core volumes</w:t>
      </w:r>
      <w:r w:rsidR="005F24C9">
        <w:rPr>
          <w:rFonts w:ascii="Arial" w:hAnsi="Arial"/>
          <w:sz w:val="21"/>
          <w:szCs w:val="21"/>
        </w:rPr>
        <w:t xml:space="preserve"> sold</w:t>
      </w:r>
      <w:r>
        <w:rPr>
          <w:rFonts w:ascii="Arial" w:hAnsi="Arial"/>
          <w:sz w:val="21"/>
          <w:szCs w:val="21"/>
        </w:rPr>
        <w:t>. Sales were down by 13.1% to EUR</w:t>
      </w:r>
      <w:r w:rsidR="00AB3865">
        <w:rPr>
          <w:rFonts w:ascii="Arial" w:hAnsi="Arial"/>
          <w:sz w:val="21"/>
          <w:szCs w:val="21"/>
        </w:rPr>
        <w:t> </w:t>
      </w:r>
      <w:r>
        <w:rPr>
          <w:rFonts w:ascii="Arial" w:hAnsi="Arial"/>
          <w:sz w:val="21"/>
          <w:szCs w:val="21"/>
        </w:rPr>
        <w:t>5.0 billion for the full year, mainly due to a lower level of average selling prices for the year and the decline in total volumes sold. EBITDA fell by 3.5% to EUR</w:t>
      </w:r>
      <w:r w:rsidR="00AB3865">
        <w:rPr>
          <w:rFonts w:ascii="Arial" w:hAnsi="Arial"/>
          <w:sz w:val="21"/>
          <w:szCs w:val="21"/>
        </w:rPr>
        <w:t> </w:t>
      </w:r>
      <w:r>
        <w:rPr>
          <w:rFonts w:ascii="Arial" w:hAnsi="Arial"/>
          <w:sz w:val="21"/>
          <w:szCs w:val="21"/>
        </w:rPr>
        <w:t xml:space="preserve">625 million, also on account of the decrease in volumes sold. </w:t>
      </w:r>
      <w:r w:rsidRPr="003741CA">
        <w:rPr>
          <w:rFonts w:ascii="Arial" w:hAnsi="Arial"/>
          <w:sz w:val="21"/>
          <w:szCs w:val="21"/>
        </w:rPr>
        <w:t>However, a lower cost level resulting from cost-</w:t>
      </w:r>
      <w:r w:rsidR="00A3177E">
        <w:rPr>
          <w:rFonts w:ascii="Arial" w:hAnsi="Arial"/>
          <w:sz w:val="21"/>
          <w:szCs w:val="21"/>
        </w:rPr>
        <w:t>saving</w:t>
      </w:r>
      <w:r w:rsidRPr="003741CA">
        <w:rPr>
          <w:rFonts w:ascii="Arial" w:hAnsi="Arial"/>
          <w:sz w:val="21"/>
          <w:szCs w:val="21"/>
        </w:rPr>
        <w:t xml:space="preserve"> measures had a positive effect on EBITDA.</w:t>
      </w:r>
    </w:p>
    <w:p w14:paraId="1D3496FD"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05912189" w14:textId="052B073F" w:rsidR="0013230E" w:rsidRPr="009B1711" w:rsidRDefault="0013230E" w:rsidP="0013230E">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The Polycarbonates segment saw core volumes sold drop by 3.0% in fiscal 2020. The pandemic caused demand to dry up in the first six months. In the second half of the year, however, a robust recovery in demand pushed core volumes sold over the prior-year level. Sales were down by 14.1% to EUR</w:t>
      </w:r>
      <w:r w:rsidR="00AB3865">
        <w:rPr>
          <w:rFonts w:ascii="Arial" w:hAnsi="Arial"/>
          <w:sz w:val="21"/>
          <w:szCs w:val="21"/>
        </w:rPr>
        <w:t> </w:t>
      </w:r>
      <w:r>
        <w:rPr>
          <w:rFonts w:ascii="Arial" w:hAnsi="Arial"/>
          <w:sz w:val="21"/>
          <w:szCs w:val="21"/>
        </w:rPr>
        <w:t>3.0 billion, mainly due to a lower level of selling prices and the decline in total volumes sold. In contrast, EBITDA improved by 3.2% to EUR</w:t>
      </w:r>
      <w:r w:rsidR="00AB3865">
        <w:rPr>
          <w:rFonts w:ascii="Arial" w:hAnsi="Arial"/>
          <w:sz w:val="21"/>
          <w:szCs w:val="21"/>
        </w:rPr>
        <w:t> </w:t>
      </w:r>
      <w:r>
        <w:rPr>
          <w:rFonts w:ascii="Arial" w:hAnsi="Arial"/>
          <w:sz w:val="21"/>
          <w:szCs w:val="21"/>
        </w:rPr>
        <w:t>553 million, a trend primarily attributable to lower raw material prices and lower costs as a result of cost-</w:t>
      </w:r>
      <w:r w:rsidR="00A3177E">
        <w:rPr>
          <w:rFonts w:ascii="Arial" w:hAnsi="Arial"/>
          <w:sz w:val="21"/>
          <w:szCs w:val="21"/>
        </w:rPr>
        <w:t>saving</w:t>
      </w:r>
      <w:r>
        <w:rPr>
          <w:rFonts w:ascii="Arial" w:hAnsi="Arial"/>
          <w:sz w:val="21"/>
          <w:szCs w:val="21"/>
        </w:rPr>
        <w:t xml:space="preserve"> measures.</w:t>
      </w:r>
    </w:p>
    <w:p w14:paraId="2BC02C09"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06660FA4" w14:textId="3259CDD2" w:rsidR="0013230E" w:rsidRDefault="0013230E" w:rsidP="0013230E">
      <w:pPr>
        <w:pStyle w:val="paragraph"/>
        <w:spacing w:before="0" w:beforeAutospacing="0" w:after="0" w:afterAutospacing="0" w:line="300" w:lineRule="atLeast"/>
        <w:textAlignment w:val="baseline"/>
        <w:rPr>
          <w:rFonts w:ascii="Arial" w:hAnsi="Arial"/>
          <w:sz w:val="21"/>
          <w:szCs w:val="21"/>
        </w:rPr>
      </w:pPr>
      <w:r>
        <w:rPr>
          <w:rFonts w:ascii="Arial" w:hAnsi="Arial"/>
          <w:sz w:val="21"/>
          <w:szCs w:val="21"/>
        </w:rPr>
        <w:t>The Coatings, Adhesives, Specialties segment's core volumes sold declined by 8.9% in fiscal 2020. In the first six months of fiscal 2020, core volumes sold were down largely because of the sharp drop in demand due to the coronavirus pandemic. By the end of the year, demand had recovered and core volumes sold in the fourth quarter of the 2020 fiscal year exceeded those of the prior year. Sales for the full year slid 13.9% to EUR</w:t>
      </w:r>
      <w:r w:rsidR="00AB3865">
        <w:rPr>
          <w:rFonts w:ascii="Arial" w:hAnsi="Arial"/>
          <w:sz w:val="21"/>
          <w:szCs w:val="21"/>
        </w:rPr>
        <w:t> </w:t>
      </w:r>
      <w:r>
        <w:rPr>
          <w:rFonts w:ascii="Arial" w:hAnsi="Arial"/>
          <w:sz w:val="21"/>
          <w:szCs w:val="21"/>
        </w:rPr>
        <w:t>2.0 billion, mostly because of the decline in total volumes sold and lower average selling prices. EBITDA dropped by 27.3% to EUR 341 million. This was due to a decrease in volumes sold, lower margins</w:t>
      </w:r>
      <w:r w:rsidR="00744766">
        <w:rPr>
          <w:rFonts w:ascii="Arial" w:hAnsi="Arial"/>
          <w:sz w:val="21"/>
          <w:szCs w:val="21"/>
        </w:rPr>
        <w:t xml:space="preserve"> </w:t>
      </w:r>
      <w:r>
        <w:rPr>
          <w:rFonts w:ascii="Arial" w:hAnsi="Arial"/>
          <w:sz w:val="21"/>
          <w:szCs w:val="21"/>
        </w:rPr>
        <w:t>and expenses for the planned acquisition of the RFM business</w:t>
      </w:r>
      <w:r w:rsidR="003511EE">
        <w:rPr>
          <w:rFonts w:ascii="Arial" w:hAnsi="Arial"/>
          <w:sz w:val="21"/>
          <w:szCs w:val="21"/>
        </w:rPr>
        <w:t>.</w:t>
      </w:r>
      <w:r>
        <w:rPr>
          <w:rFonts w:ascii="Arial" w:hAnsi="Arial"/>
          <w:sz w:val="21"/>
          <w:szCs w:val="21"/>
        </w:rPr>
        <w:t xml:space="preserve"> </w:t>
      </w:r>
      <w:r w:rsidRPr="0018245E">
        <w:rPr>
          <w:rFonts w:ascii="Arial" w:hAnsi="Arial"/>
          <w:sz w:val="21"/>
          <w:szCs w:val="21"/>
        </w:rPr>
        <w:t>However, a lower cost level resulting from cost-</w:t>
      </w:r>
      <w:r w:rsidR="00744766">
        <w:rPr>
          <w:rFonts w:ascii="Arial" w:hAnsi="Arial"/>
          <w:sz w:val="21"/>
          <w:szCs w:val="21"/>
        </w:rPr>
        <w:t>saving</w:t>
      </w:r>
      <w:r w:rsidRPr="0018245E">
        <w:rPr>
          <w:rFonts w:ascii="Arial" w:hAnsi="Arial"/>
          <w:sz w:val="21"/>
          <w:szCs w:val="21"/>
        </w:rPr>
        <w:t xml:space="preserve"> measures had a positive impact on earnings.</w:t>
      </w:r>
      <w:r>
        <w:rPr>
          <w:rFonts w:ascii="Arial" w:hAnsi="Arial"/>
          <w:sz w:val="21"/>
          <w:szCs w:val="21"/>
        </w:rPr>
        <w:t xml:space="preserve"> In addition</w:t>
      </w:r>
      <w:r w:rsidRPr="0018245E">
        <w:rPr>
          <w:rFonts w:ascii="Arial" w:hAnsi="Arial"/>
          <w:sz w:val="21"/>
          <w:szCs w:val="21"/>
        </w:rPr>
        <w:t xml:space="preserve"> EBITDA in the prior-year period was positively impacted by a one-time effect from</w:t>
      </w:r>
      <w:r>
        <w:rPr>
          <w:rFonts w:ascii="Arial" w:hAnsi="Arial"/>
          <w:sz w:val="21"/>
          <w:szCs w:val="21"/>
        </w:rPr>
        <w:t xml:space="preserve"> </w:t>
      </w:r>
      <w:r w:rsidRPr="00094B2B">
        <w:rPr>
          <w:rFonts w:ascii="Arial" w:hAnsi="Arial"/>
          <w:sz w:val="21"/>
          <w:szCs w:val="21"/>
        </w:rPr>
        <w:t>the step acquisition of shares of Japan-based DIC Covestro Polymer Ltd.</w:t>
      </w:r>
    </w:p>
    <w:p w14:paraId="1472CD2A" w14:textId="77777777" w:rsidR="0013230E" w:rsidRDefault="0013230E" w:rsidP="0013230E">
      <w:pPr>
        <w:pStyle w:val="paragraph"/>
        <w:spacing w:before="0" w:beforeAutospacing="0" w:after="0" w:afterAutospacing="0" w:line="300" w:lineRule="atLeast"/>
        <w:textAlignment w:val="baseline"/>
        <w:rPr>
          <w:rFonts w:ascii="Arial" w:hAnsi="Arial" w:cs="Arial"/>
          <w:sz w:val="21"/>
          <w:szCs w:val="21"/>
        </w:rPr>
      </w:pPr>
    </w:p>
    <w:p w14:paraId="13357BC8" w14:textId="77777777" w:rsidR="0013230E" w:rsidRDefault="0013230E" w:rsidP="0013230E">
      <w:pPr>
        <w:pStyle w:val="paragraph"/>
        <w:spacing w:before="0" w:beforeAutospacing="0" w:after="0" w:afterAutospacing="0" w:line="300" w:lineRule="atLeast"/>
        <w:textAlignment w:val="baseline"/>
        <w:rPr>
          <w:rFonts w:ascii="Arial" w:hAnsi="Arial" w:cs="Arial"/>
          <w:b/>
          <w:bCs/>
          <w:sz w:val="21"/>
          <w:szCs w:val="21"/>
        </w:rPr>
      </w:pPr>
      <w:r>
        <w:rPr>
          <w:rFonts w:ascii="Arial" w:hAnsi="Arial"/>
          <w:b/>
          <w:bCs/>
          <w:sz w:val="21"/>
          <w:szCs w:val="21"/>
        </w:rPr>
        <w:t xml:space="preserve">Fourth quarter of 2020 well over prior-year level </w:t>
      </w:r>
    </w:p>
    <w:p w14:paraId="05DA71FD" w14:textId="77777777" w:rsidR="0013230E" w:rsidRDefault="0013230E" w:rsidP="0013230E">
      <w:pPr>
        <w:pStyle w:val="paragraph"/>
        <w:spacing w:before="0" w:beforeAutospacing="0" w:after="0" w:afterAutospacing="0" w:line="300" w:lineRule="atLeast"/>
        <w:textAlignment w:val="baseline"/>
        <w:rPr>
          <w:rFonts w:ascii="Arial" w:hAnsi="Arial" w:cs="Arial"/>
          <w:b/>
          <w:bCs/>
          <w:sz w:val="21"/>
          <w:szCs w:val="21"/>
        </w:rPr>
      </w:pPr>
    </w:p>
    <w:p w14:paraId="70E22965" w14:textId="00036784" w:rsidR="0013230E" w:rsidRDefault="0013230E" w:rsidP="000D61C4">
      <w:pPr>
        <w:pStyle w:val="paragraph"/>
        <w:spacing w:before="0" w:beforeAutospacing="0" w:after="0" w:afterAutospacing="0" w:line="300" w:lineRule="atLeast"/>
        <w:textAlignment w:val="baseline"/>
        <w:rPr>
          <w:rFonts w:ascii="Arial" w:hAnsi="Arial" w:cs="Arial"/>
          <w:b/>
          <w:bCs/>
          <w:sz w:val="21"/>
          <w:szCs w:val="21"/>
        </w:rPr>
      </w:pPr>
      <w:r>
        <w:rPr>
          <w:rFonts w:ascii="Arial" w:hAnsi="Arial"/>
          <w:sz w:val="21"/>
          <w:szCs w:val="21"/>
        </w:rPr>
        <w:t>Core volumes sold in the fourth quarter of 2020 rose by 1.7% over the prior-year period. Group sales therefore increased by 5.0% to EUR</w:t>
      </w:r>
      <w:r w:rsidR="00AB3865">
        <w:rPr>
          <w:rFonts w:ascii="Arial" w:hAnsi="Arial"/>
          <w:sz w:val="21"/>
          <w:szCs w:val="21"/>
        </w:rPr>
        <w:t> </w:t>
      </w:r>
      <w:r>
        <w:rPr>
          <w:rFonts w:ascii="Arial" w:hAnsi="Arial"/>
          <w:sz w:val="21"/>
          <w:szCs w:val="21"/>
        </w:rPr>
        <w:t xml:space="preserve">3.0 billion as a </w:t>
      </w:r>
      <w:r>
        <w:rPr>
          <w:rFonts w:ascii="Arial" w:hAnsi="Arial"/>
          <w:sz w:val="21"/>
          <w:szCs w:val="21"/>
        </w:rPr>
        <w:lastRenderedPageBreak/>
        <w:t>result of higher selling prices. At EUR</w:t>
      </w:r>
      <w:r w:rsidR="00AB3865">
        <w:rPr>
          <w:rFonts w:ascii="Arial" w:hAnsi="Arial"/>
          <w:sz w:val="21"/>
          <w:szCs w:val="21"/>
        </w:rPr>
        <w:t> </w:t>
      </w:r>
      <w:r>
        <w:rPr>
          <w:rFonts w:ascii="Arial" w:hAnsi="Arial"/>
          <w:sz w:val="21"/>
          <w:szCs w:val="21"/>
        </w:rPr>
        <w:t>637 million, EBITDA in the fourth quarter of 2020 more than doubled from the figure in the previous year. Net income climbed sharply from EUR</w:t>
      </w:r>
      <w:r w:rsidR="00AB3865">
        <w:rPr>
          <w:rFonts w:ascii="Arial" w:hAnsi="Arial"/>
          <w:sz w:val="21"/>
          <w:szCs w:val="21"/>
        </w:rPr>
        <w:t> </w:t>
      </w:r>
      <w:r>
        <w:rPr>
          <w:rFonts w:ascii="Arial" w:hAnsi="Arial"/>
          <w:sz w:val="21"/>
          <w:szCs w:val="21"/>
        </w:rPr>
        <w:t>37 million in the prior-year quarter to EUR</w:t>
      </w:r>
      <w:r w:rsidR="00AB3865">
        <w:rPr>
          <w:rFonts w:ascii="Arial" w:hAnsi="Arial"/>
          <w:sz w:val="21"/>
          <w:szCs w:val="21"/>
        </w:rPr>
        <w:t> </w:t>
      </w:r>
      <w:r>
        <w:rPr>
          <w:rFonts w:ascii="Arial" w:hAnsi="Arial"/>
          <w:sz w:val="21"/>
          <w:szCs w:val="21"/>
        </w:rPr>
        <w:t>312 million. FOCF also increased in the fourth quarter, by 19.4% to EUR 394 million.</w:t>
      </w:r>
    </w:p>
    <w:p w14:paraId="507622F1" w14:textId="77777777" w:rsidR="0013230E" w:rsidRDefault="0013230E" w:rsidP="000D61C4">
      <w:pPr>
        <w:pStyle w:val="paragraph"/>
        <w:spacing w:before="0" w:beforeAutospacing="0" w:after="0" w:afterAutospacing="0" w:line="300" w:lineRule="atLeast"/>
        <w:textAlignment w:val="baseline"/>
        <w:rPr>
          <w:rFonts w:ascii="Arial" w:hAnsi="Arial" w:cs="Arial"/>
          <w:b/>
          <w:bCs/>
          <w:sz w:val="21"/>
          <w:szCs w:val="21"/>
        </w:rPr>
      </w:pPr>
    </w:p>
    <w:p w14:paraId="05473A07" w14:textId="77777777" w:rsidR="0013230E" w:rsidRDefault="0013230E" w:rsidP="000D61C4">
      <w:pPr>
        <w:pStyle w:val="paragraph"/>
        <w:spacing w:before="0" w:beforeAutospacing="0" w:after="0" w:afterAutospacing="0" w:line="300" w:lineRule="atLeast"/>
        <w:textAlignment w:val="baseline"/>
        <w:rPr>
          <w:rFonts w:ascii="Arial" w:hAnsi="Arial" w:cs="Arial"/>
          <w:b/>
          <w:bCs/>
          <w:sz w:val="21"/>
          <w:szCs w:val="21"/>
        </w:rPr>
      </w:pPr>
    </w:p>
    <w:p w14:paraId="0743B2B2" w14:textId="5F27647F" w:rsidR="00BE5A8A" w:rsidRPr="0013230E" w:rsidRDefault="00BE5A8A" w:rsidP="000D61C4">
      <w:pPr>
        <w:pStyle w:val="paragraph"/>
        <w:spacing w:before="0" w:beforeAutospacing="0" w:after="0" w:afterAutospacing="0" w:line="300" w:lineRule="atLeast"/>
        <w:textAlignment w:val="baseline"/>
        <w:rPr>
          <w:rFonts w:ascii="Arial" w:hAnsi="Arial" w:cs="Arial"/>
          <w:b/>
          <w:bCs/>
          <w:sz w:val="21"/>
          <w:szCs w:val="21"/>
        </w:rPr>
      </w:pPr>
      <w:r w:rsidRPr="00855D0B">
        <w:rPr>
          <w:rFonts w:ascii="Arial" w:hAnsi="Arial"/>
          <w:b/>
          <w:bCs/>
          <w:sz w:val="21"/>
          <w:szCs w:val="21"/>
        </w:rPr>
        <w:t>About Covestro</w:t>
      </w:r>
      <w:r w:rsidR="00855D0B">
        <w:rPr>
          <w:rFonts w:ascii="Arial" w:hAnsi="Arial"/>
          <w:b/>
          <w:bCs/>
          <w:sz w:val="21"/>
          <w:szCs w:val="21"/>
        </w:rPr>
        <w:t>:</w:t>
      </w:r>
    </w:p>
    <w:p w14:paraId="03769BA0" w14:textId="6BBFAE28" w:rsidR="00E348C2" w:rsidRDefault="00E348C2" w:rsidP="00E348C2">
      <w:pPr>
        <w:spacing w:after="0" w:line="300" w:lineRule="atLeast"/>
      </w:pPr>
      <w:r w:rsidRPr="00E7747C">
        <w:t xml:space="preserve">With 2020 sales of EUR </w:t>
      </w:r>
      <w:r w:rsidRPr="00E348C2">
        <w:t>10.7 billion,</w:t>
      </w:r>
      <w:r w:rsidRPr="00E7747C">
        <w:t xml:space="preserve">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w:t>
      </w:r>
      <w:r>
        <w:t>s</w:t>
      </w:r>
      <w:r w:rsidRPr="00E7747C">
        <w:t xml:space="preserve">,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w:t>
      </w:r>
      <w:r>
        <w:t>16,500</w:t>
      </w:r>
      <w:r w:rsidRPr="00E7747C">
        <w:t xml:space="preserve"> people (calculated as full-time equivalents).</w:t>
      </w:r>
    </w:p>
    <w:p w14:paraId="33893722" w14:textId="77777777" w:rsidR="00F42C9B" w:rsidRPr="004314B9" w:rsidRDefault="00F42C9B" w:rsidP="00E348C2">
      <w:pPr>
        <w:spacing w:after="0" w:line="300" w:lineRule="atLeast"/>
      </w:pPr>
    </w:p>
    <w:p w14:paraId="648A31F1" w14:textId="77777777" w:rsidR="000D61C4" w:rsidRPr="00A601F0" w:rsidRDefault="000D61C4" w:rsidP="000D61C4">
      <w:pPr>
        <w:spacing w:after="0" w:line="300" w:lineRule="atLeast"/>
      </w:pPr>
    </w:p>
    <w:p w14:paraId="72905ACA" w14:textId="77777777" w:rsidR="00A22631" w:rsidRPr="00B853C2" w:rsidRDefault="00A22631" w:rsidP="00A22631">
      <w:pPr>
        <w:spacing w:after="0" w:line="300" w:lineRule="atLeast"/>
        <w:rPr>
          <w:b/>
          <w:bCs/>
          <w:i/>
          <w:u w:val="single"/>
        </w:rPr>
      </w:pPr>
      <w:r>
        <w:rPr>
          <w:b/>
          <w:bCs/>
          <w:i/>
          <w:u w:val="single"/>
        </w:rPr>
        <w:t>Note to editors:</w:t>
      </w:r>
    </w:p>
    <w:p w14:paraId="26F7F304" w14:textId="77777777" w:rsidR="00A22631" w:rsidRPr="00A601F0" w:rsidRDefault="00A22631" w:rsidP="00A22631">
      <w:pPr>
        <w:spacing w:after="0" w:line="300" w:lineRule="atLeast"/>
        <w:rPr>
          <w:i/>
        </w:rPr>
      </w:pPr>
    </w:p>
    <w:p w14:paraId="1132AF35" w14:textId="77777777" w:rsidR="00A22631" w:rsidRPr="00344A2A" w:rsidRDefault="00A22631" w:rsidP="00080E35">
      <w:pPr>
        <w:spacing w:after="0" w:line="300" w:lineRule="exact"/>
        <w:rPr>
          <w:i/>
        </w:rPr>
      </w:pPr>
      <w:r w:rsidRPr="00344A2A">
        <w:rPr>
          <w:i/>
        </w:rPr>
        <w:t>Below please find a table showing key data for Covestro AG for fiscal year 2020.</w:t>
      </w:r>
    </w:p>
    <w:p w14:paraId="6078340E" w14:textId="77777777" w:rsidR="00A22631" w:rsidRPr="00344A2A" w:rsidRDefault="00A22631" w:rsidP="00080E35">
      <w:pPr>
        <w:spacing w:after="0" w:line="300" w:lineRule="exact"/>
        <w:rPr>
          <w:i/>
        </w:rPr>
      </w:pPr>
    </w:p>
    <w:p w14:paraId="400D8F0C" w14:textId="5A10E038" w:rsidR="00167EC4" w:rsidRDefault="00167EC4" w:rsidP="00080E35">
      <w:pPr>
        <w:spacing w:after="0" w:line="300" w:lineRule="exact"/>
        <w:rPr>
          <w:i/>
        </w:rPr>
      </w:pPr>
      <w:r w:rsidRPr="00167EC4">
        <w:rPr>
          <w:i/>
        </w:rPr>
        <w:t xml:space="preserve">The </w:t>
      </w:r>
      <w:r w:rsidR="00080E35">
        <w:rPr>
          <w:i/>
        </w:rPr>
        <w:t>Annual P</w:t>
      </w:r>
      <w:r w:rsidRPr="00167EC4">
        <w:rPr>
          <w:i/>
        </w:rPr>
        <w:t xml:space="preserve">ress </w:t>
      </w:r>
      <w:r w:rsidR="00080E35">
        <w:rPr>
          <w:i/>
        </w:rPr>
        <w:t>C</w:t>
      </w:r>
      <w:r w:rsidRPr="00167EC4">
        <w:rPr>
          <w:i/>
        </w:rPr>
        <w:t xml:space="preserve">onference starts at 10 a.m. CET. You can follow the conference live </w:t>
      </w:r>
      <w:hyperlink r:id="rId11" w:history="1">
        <w:r w:rsidRPr="00167EC4">
          <w:rPr>
            <w:rStyle w:val="Hyperlink"/>
            <w:i/>
          </w:rPr>
          <w:t>here</w:t>
        </w:r>
      </w:hyperlink>
      <w:r w:rsidRPr="00167EC4">
        <w:rPr>
          <w:i/>
        </w:rPr>
        <w:t>.</w:t>
      </w:r>
    </w:p>
    <w:p w14:paraId="5476AE37" w14:textId="77777777" w:rsidR="00080E35" w:rsidRDefault="00080E35" w:rsidP="00080E35">
      <w:pPr>
        <w:spacing w:after="0" w:line="300" w:lineRule="exact"/>
        <w:rPr>
          <w:i/>
        </w:rPr>
      </w:pPr>
    </w:p>
    <w:p w14:paraId="58ACF760" w14:textId="64C8D3F6" w:rsidR="00080E35" w:rsidRDefault="005958A2" w:rsidP="00080E35">
      <w:pPr>
        <w:spacing w:after="0" w:line="300" w:lineRule="exact"/>
      </w:pPr>
      <w:r>
        <w:rPr>
          <w:i/>
          <w:iCs/>
        </w:rPr>
        <w:t xml:space="preserve">The presentation of the Annual Press Conference </w:t>
      </w:r>
      <w:r w:rsidR="00210896">
        <w:rPr>
          <w:i/>
          <w:iCs/>
        </w:rPr>
        <w:t>is</w:t>
      </w:r>
      <w:r>
        <w:rPr>
          <w:i/>
          <w:iCs/>
        </w:rPr>
        <w:t xml:space="preserve"> available in the digital press kit here from 10 a.m. CET: </w:t>
      </w:r>
      <w:r>
        <w:t xml:space="preserve"> </w:t>
      </w:r>
      <w:hyperlink r:id="rId12" w:history="1">
        <w:r>
          <w:rPr>
            <w:rStyle w:val="Hyperlink"/>
            <w:i/>
            <w:iCs/>
          </w:rPr>
          <w:t>https://www.covestro.com/press/</w:t>
        </w:r>
      </w:hyperlink>
    </w:p>
    <w:p w14:paraId="6B3ACE0F" w14:textId="77777777" w:rsidR="005958A2" w:rsidRPr="00167EC4" w:rsidRDefault="005958A2" w:rsidP="00080E35">
      <w:pPr>
        <w:spacing w:after="0" w:line="300" w:lineRule="exact"/>
        <w:rPr>
          <w:rStyle w:val="Hyperlink"/>
          <w:rFonts w:cs="Arial"/>
          <w:b/>
          <w:i/>
          <w:szCs w:val="21"/>
        </w:rPr>
      </w:pPr>
    </w:p>
    <w:p w14:paraId="61EEF75D" w14:textId="77777777" w:rsidR="00167EC4" w:rsidRPr="00167EC4" w:rsidRDefault="00167EC4" w:rsidP="00080E35">
      <w:pPr>
        <w:spacing w:after="0" w:line="300" w:lineRule="exact"/>
        <w:rPr>
          <w:bCs/>
          <w:i/>
        </w:rPr>
      </w:pPr>
      <w:r w:rsidRPr="00167EC4">
        <w:rPr>
          <w:i/>
        </w:rPr>
        <w:t xml:space="preserve">The Annual Report 2020 is available online at: </w:t>
      </w:r>
      <w:r w:rsidRPr="00167EC4">
        <w:rPr>
          <w:bCs/>
          <w:i/>
        </w:rPr>
        <w:fldChar w:fldCharType="begin"/>
      </w:r>
      <w:r w:rsidRPr="00167EC4">
        <w:rPr>
          <w:bCs/>
          <w:i/>
        </w:rPr>
        <w:instrText xml:space="preserve"> HYPERLINK "https://</w:instrText>
      </w:r>
      <w:r w:rsidRPr="00167EC4">
        <w:rPr>
          <w:bCs/>
          <w:i/>
          <w:szCs w:val="21"/>
        </w:rPr>
        <w:instrText>report.covestro.com</w:instrText>
      </w:r>
    </w:p>
    <w:p w14:paraId="27949A35" w14:textId="77777777" w:rsidR="00167EC4" w:rsidRPr="00167EC4" w:rsidRDefault="00167EC4" w:rsidP="00080E35">
      <w:pPr>
        <w:spacing w:after="0" w:line="300" w:lineRule="exact"/>
        <w:rPr>
          <w:rStyle w:val="Hyperlink"/>
          <w:bCs/>
          <w:i/>
        </w:rPr>
      </w:pPr>
      <w:r w:rsidRPr="00167EC4">
        <w:rPr>
          <w:bCs/>
          <w:i/>
        </w:rPr>
        <w:instrText xml:space="preserve">" </w:instrText>
      </w:r>
      <w:r w:rsidRPr="00167EC4">
        <w:rPr>
          <w:bCs/>
          <w:i/>
        </w:rPr>
        <w:fldChar w:fldCharType="separate"/>
      </w:r>
      <w:r w:rsidRPr="00167EC4">
        <w:rPr>
          <w:rStyle w:val="Hyperlink"/>
          <w:bCs/>
          <w:i/>
        </w:rPr>
        <w:t>https://</w:t>
      </w:r>
      <w:r w:rsidRPr="00167EC4">
        <w:rPr>
          <w:rStyle w:val="Hyperlink"/>
          <w:bCs/>
          <w:i/>
          <w:szCs w:val="21"/>
        </w:rPr>
        <w:t>report.covestro.com</w:t>
      </w:r>
    </w:p>
    <w:p w14:paraId="135E2C86" w14:textId="7E9B15E8" w:rsidR="00E250CA" w:rsidRDefault="00167EC4" w:rsidP="00080E35">
      <w:pPr>
        <w:spacing w:after="0" w:line="300" w:lineRule="exact"/>
        <w:rPr>
          <w:bCs/>
          <w:i/>
        </w:rPr>
      </w:pPr>
      <w:r w:rsidRPr="00167EC4">
        <w:rPr>
          <w:bCs/>
          <w:i/>
        </w:rPr>
        <w:fldChar w:fldCharType="end"/>
      </w:r>
    </w:p>
    <w:p w14:paraId="1EA46509" w14:textId="77777777" w:rsidR="00080E35" w:rsidRDefault="00080E35" w:rsidP="00080E35">
      <w:pPr>
        <w:spacing w:after="0" w:line="300" w:lineRule="exact"/>
        <w:rPr>
          <w:bCs/>
          <w:i/>
        </w:rPr>
      </w:pPr>
    </w:p>
    <w:p w14:paraId="05A615B3" w14:textId="77777777" w:rsidR="00E250CA" w:rsidRDefault="00A22631" w:rsidP="00080E35">
      <w:pPr>
        <w:spacing w:after="0" w:line="300" w:lineRule="exact"/>
      </w:pPr>
      <w:r>
        <w:t xml:space="preserve">For more information, see </w:t>
      </w:r>
      <w:hyperlink r:id="rId13" w:history="1">
        <w:r>
          <w:rPr>
            <w:rStyle w:val="Hyperlink"/>
            <w:b/>
            <w:i/>
            <w:iCs/>
          </w:rPr>
          <w:t>www.covestro.com</w:t>
        </w:r>
      </w:hyperlink>
      <w:r>
        <w:t>.</w:t>
      </w:r>
    </w:p>
    <w:p w14:paraId="6A8A542C" w14:textId="21C109EA" w:rsidR="00A22631" w:rsidRPr="00845AAD" w:rsidRDefault="00A22631" w:rsidP="00080E35">
      <w:pPr>
        <w:spacing w:after="0" w:line="300" w:lineRule="exact"/>
      </w:pPr>
      <w:r>
        <w:t xml:space="preserve">Follow us on Twitter: </w:t>
      </w:r>
      <w:hyperlink r:id="rId14" w:history="1">
        <w:r>
          <w:rPr>
            <w:rStyle w:val="Hyperlink"/>
            <w:b/>
            <w:i/>
            <w:iCs/>
          </w:rPr>
          <w:t>https://twitter.com/covestro</w:t>
        </w:r>
      </w:hyperlink>
      <w:r>
        <w:t xml:space="preserve">. </w:t>
      </w:r>
    </w:p>
    <w:p w14:paraId="57CC1C7C" w14:textId="77777777" w:rsidR="00A22631" w:rsidRPr="00A601F0" w:rsidRDefault="00A22631" w:rsidP="00A22631">
      <w:pPr>
        <w:spacing w:after="0" w:line="300" w:lineRule="atLeast"/>
        <w:rPr>
          <w:rFonts w:ascii="Calibri" w:eastAsia="Calibri" w:hAnsi="Calibri" w:cs="Calibri"/>
          <w:noProof w:val="0"/>
          <w:spacing w:val="0"/>
          <w:kern w:val="0"/>
          <w:sz w:val="22"/>
          <w:lang w:eastAsia="en-US"/>
        </w:rPr>
      </w:pPr>
    </w:p>
    <w:p w14:paraId="4C6DAE97" w14:textId="77777777" w:rsidR="00A22631" w:rsidRPr="00064D63" w:rsidRDefault="00A22631" w:rsidP="00A22631">
      <w:pPr>
        <w:spacing w:after="0" w:line="300" w:lineRule="atLeast"/>
        <w:rPr>
          <w:rFonts w:eastAsia="Calibri" w:cs="Arial"/>
          <w:noProof w:val="0"/>
          <w:spacing w:val="0"/>
          <w:kern w:val="0"/>
          <w:sz w:val="16"/>
          <w:szCs w:val="16"/>
        </w:rPr>
      </w:pPr>
      <w:r>
        <w:rPr>
          <w:b/>
          <w:sz w:val="16"/>
          <w:szCs w:val="16"/>
        </w:rPr>
        <w:t>Forward-looking statements</w:t>
      </w:r>
    </w:p>
    <w:p w14:paraId="3C512833" w14:textId="299709B3" w:rsidR="00AD460F" w:rsidRDefault="00A22631" w:rsidP="0003462C">
      <w:pPr>
        <w:spacing w:after="0" w:line="300" w:lineRule="atLeast"/>
        <w:rPr>
          <w:sz w:val="16"/>
          <w:szCs w:val="16"/>
        </w:rPr>
      </w:pPr>
      <w:r>
        <w:rPr>
          <w:sz w:val="16"/>
          <w:szCs w:val="16"/>
        </w:rPr>
        <w:t xml:space="preserve">This Press Release may contain forward-looking statements based on current assumptions and forecasts made by the management of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w:t>
      </w:r>
      <w:r>
        <w:rPr>
          <w:sz w:val="16"/>
          <w:szCs w:val="16"/>
        </w:rPr>
        <w:lastRenderedPageBreak/>
        <w:t>no liability whatsoever to update these forward-looking statements or to conform them to future events or developments.</w:t>
      </w:r>
      <w:bookmarkStart w:id="0" w:name="RANGE!B5:J66"/>
      <w:bookmarkStart w:id="1" w:name="SNEID_52f812d844b84cd18c7c186778d4cd75"/>
      <w:bookmarkStart w:id="2" w:name="RANGE!B7:J7"/>
      <w:bookmarkEnd w:id="0"/>
      <w:bookmarkEnd w:id="1"/>
      <w:bookmarkEnd w:id="2"/>
    </w:p>
    <w:p w14:paraId="225BF22B" w14:textId="3C6622CE" w:rsidR="00AA26C9" w:rsidRDefault="00AA26C9" w:rsidP="0003462C">
      <w:pPr>
        <w:spacing w:after="0" w:line="300" w:lineRule="atLeast"/>
        <w:rPr>
          <w:sz w:val="16"/>
          <w:szCs w:val="16"/>
        </w:rPr>
      </w:pPr>
    </w:p>
    <w:p w14:paraId="355201BE" w14:textId="2619A5C0" w:rsidR="00AA26C9" w:rsidRDefault="00AA26C9">
      <w:pPr>
        <w:spacing w:after="0" w:line="240" w:lineRule="auto"/>
        <w:rPr>
          <w:sz w:val="16"/>
          <w:szCs w:val="16"/>
        </w:rPr>
      </w:pPr>
      <w:r>
        <w:rPr>
          <w:sz w:val="16"/>
          <w:szCs w:val="16"/>
        </w:rPr>
        <w:br w:type="page"/>
      </w:r>
    </w:p>
    <w:tbl>
      <w:tblPr>
        <w:tblW w:w="10206" w:type="dxa"/>
        <w:tblInd w:w="-2881" w:type="dxa"/>
        <w:tblLayout w:type="fixed"/>
        <w:tblCellMar>
          <w:left w:w="0" w:type="dxa"/>
          <w:right w:w="0" w:type="dxa"/>
        </w:tblCellMar>
        <w:tblLook w:val="0000" w:firstRow="0" w:lastRow="0" w:firstColumn="0" w:lastColumn="0" w:noHBand="0" w:noVBand="0"/>
        <w:tblCaption w:val="Pressemitteilung !outarea_EN"/>
        <w:tblDescription w:val="SNEID_2ec5be8bb872478594c018bb46e5a95b"/>
      </w:tblPr>
      <w:tblGrid>
        <w:gridCol w:w="3402"/>
        <w:gridCol w:w="1134"/>
        <w:gridCol w:w="1134"/>
        <w:gridCol w:w="1134"/>
        <w:gridCol w:w="1134"/>
        <w:gridCol w:w="1134"/>
        <w:gridCol w:w="1134"/>
      </w:tblGrid>
      <w:tr w:rsidR="00767A78" w:rsidRPr="00862438" w14:paraId="60185B69" w14:textId="77777777" w:rsidTr="00767A78">
        <w:trPr>
          <w:tblHeader/>
        </w:trPr>
        <w:tc>
          <w:tcPr>
            <w:tcW w:w="10206" w:type="dxa"/>
            <w:gridSpan w:val="7"/>
            <w:tcBorders>
              <w:bottom w:val="single" w:sz="8" w:space="0" w:color="009FE4"/>
            </w:tcBorders>
            <w:noWrap/>
            <w:vAlign w:val="center"/>
          </w:tcPr>
          <w:p w14:paraId="1D9E61BD" w14:textId="77777777" w:rsidR="00767A78" w:rsidRDefault="00767A78" w:rsidP="00887C4F">
            <w:pPr>
              <w:pStyle w:val="Ttitleblue"/>
              <w:keepNext/>
            </w:pPr>
            <w:bookmarkStart w:id="3" w:name="RANGE!L5:T5"/>
            <w:r w:rsidRPr="00862438">
              <w:rPr>
                <w:b/>
                <w:bCs/>
              </w:rPr>
              <w:lastRenderedPageBreak/>
              <w:t>Covestro Group Key Data</w:t>
            </w:r>
            <w:bookmarkEnd w:id="3"/>
          </w:p>
        </w:tc>
      </w:tr>
      <w:tr w:rsidR="00767A78" w:rsidRPr="00862438" w14:paraId="1C3D2FB7" w14:textId="77777777" w:rsidTr="00767A78">
        <w:trPr>
          <w:tblHeader/>
        </w:trPr>
        <w:tc>
          <w:tcPr>
            <w:tcW w:w="3402" w:type="dxa"/>
            <w:tcBorders>
              <w:top w:val="single" w:sz="8" w:space="0" w:color="009FE4"/>
            </w:tcBorders>
            <w:noWrap/>
            <w:vAlign w:val="bottom"/>
          </w:tcPr>
          <w:p w14:paraId="2177BD7D" w14:textId="77777777" w:rsidR="00767A78" w:rsidRPr="00862438" w:rsidRDefault="00767A78" w:rsidP="00887C4F">
            <w:pPr>
              <w:pStyle w:val="TDummy"/>
              <w:keepNext/>
            </w:pPr>
            <w:bookmarkStart w:id="4" w:name="RANGE!L6:T6"/>
            <w:r w:rsidRPr="00862438">
              <w:t> </w:t>
            </w:r>
            <w:bookmarkEnd w:id="4"/>
          </w:p>
        </w:tc>
        <w:tc>
          <w:tcPr>
            <w:tcW w:w="1134" w:type="dxa"/>
            <w:tcBorders>
              <w:top w:val="single" w:sz="8" w:space="0" w:color="009FE4"/>
            </w:tcBorders>
            <w:noWrap/>
            <w:vAlign w:val="bottom"/>
          </w:tcPr>
          <w:p w14:paraId="09AD1EEF" w14:textId="77777777" w:rsidR="00767A78" w:rsidRPr="00862438" w:rsidRDefault="00767A78" w:rsidP="00887C4F">
            <w:pPr>
              <w:pStyle w:val="TDummy"/>
              <w:keepNext/>
            </w:pPr>
            <w:r w:rsidRPr="00862438">
              <w:t> </w:t>
            </w:r>
          </w:p>
        </w:tc>
        <w:tc>
          <w:tcPr>
            <w:tcW w:w="1134" w:type="dxa"/>
            <w:tcBorders>
              <w:top w:val="single" w:sz="8" w:space="0" w:color="009FE4"/>
            </w:tcBorders>
            <w:noWrap/>
            <w:vAlign w:val="bottom"/>
          </w:tcPr>
          <w:p w14:paraId="518864FB" w14:textId="77777777" w:rsidR="00767A78" w:rsidRPr="00862438" w:rsidRDefault="00767A78" w:rsidP="00887C4F">
            <w:pPr>
              <w:pStyle w:val="TDummy"/>
              <w:keepNext/>
            </w:pPr>
            <w:r w:rsidRPr="00862438">
              <w:t> </w:t>
            </w:r>
          </w:p>
        </w:tc>
        <w:tc>
          <w:tcPr>
            <w:tcW w:w="1134" w:type="dxa"/>
            <w:tcBorders>
              <w:top w:val="single" w:sz="8" w:space="0" w:color="009FE4"/>
            </w:tcBorders>
            <w:noWrap/>
            <w:vAlign w:val="bottom"/>
          </w:tcPr>
          <w:p w14:paraId="7896C6D3" w14:textId="77777777" w:rsidR="00767A78" w:rsidRPr="00862438" w:rsidRDefault="00767A78" w:rsidP="00887C4F">
            <w:pPr>
              <w:pStyle w:val="TDummy"/>
              <w:keepNext/>
            </w:pPr>
            <w:r w:rsidRPr="00862438">
              <w:t> </w:t>
            </w:r>
          </w:p>
        </w:tc>
        <w:tc>
          <w:tcPr>
            <w:tcW w:w="1134" w:type="dxa"/>
            <w:tcBorders>
              <w:top w:val="single" w:sz="8" w:space="0" w:color="009FE4"/>
            </w:tcBorders>
            <w:noWrap/>
            <w:vAlign w:val="bottom"/>
          </w:tcPr>
          <w:p w14:paraId="4B567E18" w14:textId="77777777" w:rsidR="00767A78" w:rsidRPr="00862438" w:rsidRDefault="00767A78" w:rsidP="00887C4F">
            <w:pPr>
              <w:pStyle w:val="TDummy"/>
              <w:keepNext/>
            </w:pPr>
            <w:r w:rsidRPr="00862438">
              <w:t> </w:t>
            </w:r>
          </w:p>
        </w:tc>
        <w:tc>
          <w:tcPr>
            <w:tcW w:w="1134" w:type="dxa"/>
            <w:tcBorders>
              <w:top w:val="single" w:sz="8" w:space="0" w:color="009FE4"/>
            </w:tcBorders>
            <w:noWrap/>
            <w:vAlign w:val="bottom"/>
          </w:tcPr>
          <w:p w14:paraId="503038DB" w14:textId="77777777" w:rsidR="00767A78" w:rsidRPr="00862438" w:rsidRDefault="00767A78" w:rsidP="00887C4F">
            <w:pPr>
              <w:pStyle w:val="TDummy"/>
              <w:keepNext/>
            </w:pPr>
            <w:r w:rsidRPr="00862438">
              <w:t> </w:t>
            </w:r>
          </w:p>
        </w:tc>
        <w:tc>
          <w:tcPr>
            <w:tcW w:w="1134" w:type="dxa"/>
            <w:tcBorders>
              <w:top w:val="single" w:sz="8" w:space="0" w:color="009FE4"/>
            </w:tcBorders>
            <w:noWrap/>
            <w:vAlign w:val="bottom"/>
          </w:tcPr>
          <w:p w14:paraId="6502171A" w14:textId="77777777" w:rsidR="00767A78" w:rsidRPr="00862438" w:rsidRDefault="00767A78" w:rsidP="00887C4F">
            <w:pPr>
              <w:pStyle w:val="TDummy"/>
              <w:keepNext/>
            </w:pPr>
            <w:r w:rsidRPr="00862438">
              <w:t> </w:t>
            </w:r>
          </w:p>
        </w:tc>
      </w:tr>
      <w:tr w:rsidR="00767A78" w:rsidRPr="00862438" w14:paraId="277C4B50" w14:textId="77777777" w:rsidTr="00767A78">
        <w:trPr>
          <w:tblHeader/>
        </w:trPr>
        <w:tc>
          <w:tcPr>
            <w:tcW w:w="3402" w:type="dxa"/>
            <w:tcBorders>
              <w:right w:val="single" w:sz="24" w:space="0" w:color="FFFFFF"/>
            </w:tcBorders>
            <w:noWrap/>
            <w:vAlign w:val="center"/>
          </w:tcPr>
          <w:p w14:paraId="725C4F34" w14:textId="77777777" w:rsidR="00767A78" w:rsidRPr="00862438" w:rsidRDefault="00767A78" w:rsidP="00887C4F">
            <w:pPr>
              <w:pStyle w:val="Tfirsttext"/>
              <w:keepNext/>
            </w:pPr>
            <w:bookmarkStart w:id="5" w:name="RANGE!L7:T7"/>
            <w:bookmarkStart w:id="6" w:name="RANGE!L7"/>
            <w:bookmarkEnd w:id="5"/>
            <w:r w:rsidRPr="00862438">
              <w:t> </w:t>
            </w:r>
            <w:bookmarkEnd w:id="6"/>
          </w:p>
        </w:tc>
        <w:tc>
          <w:tcPr>
            <w:tcW w:w="1134" w:type="dxa"/>
            <w:tcBorders>
              <w:left w:val="single" w:sz="24" w:space="0" w:color="FFFFFF"/>
              <w:bottom w:val="single" w:sz="2" w:space="0" w:color="000000"/>
              <w:right w:val="single" w:sz="24" w:space="0" w:color="FFFFFF"/>
            </w:tcBorders>
            <w:vAlign w:val="bottom"/>
          </w:tcPr>
          <w:p w14:paraId="5A5761EB" w14:textId="77777777" w:rsidR="00767A78" w:rsidRPr="00862438" w:rsidRDefault="00767A78" w:rsidP="00887C4F">
            <w:pPr>
              <w:pStyle w:val="Tfirstnumber"/>
              <w:keepNext/>
            </w:pPr>
            <w:r w:rsidRPr="00862438">
              <w:t>4th quarter 2019</w:t>
            </w:r>
          </w:p>
        </w:tc>
        <w:tc>
          <w:tcPr>
            <w:tcW w:w="1134" w:type="dxa"/>
            <w:tcBorders>
              <w:left w:val="single" w:sz="24" w:space="0" w:color="FFFFFF"/>
              <w:bottom w:val="single" w:sz="2" w:space="0" w:color="000000"/>
              <w:right w:val="single" w:sz="24" w:space="0" w:color="FFFFFF"/>
            </w:tcBorders>
            <w:shd w:val="clear" w:color="000000" w:fill="D9F1FB"/>
            <w:vAlign w:val="bottom"/>
          </w:tcPr>
          <w:p w14:paraId="65546117" w14:textId="77777777" w:rsidR="00767A78" w:rsidRPr="00862438" w:rsidRDefault="00767A78" w:rsidP="00887C4F">
            <w:pPr>
              <w:pStyle w:val="Tfirstnumber"/>
              <w:keepNext/>
            </w:pPr>
            <w:bookmarkStart w:id="7" w:name="RANGE!N7:N65"/>
            <w:r w:rsidRPr="00862438">
              <w:t>4th quarter 2020</w:t>
            </w:r>
            <w:bookmarkEnd w:id="7"/>
          </w:p>
        </w:tc>
        <w:tc>
          <w:tcPr>
            <w:tcW w:w="1134" w:type="dxa"/>
            <w:tcBorders>
              <w:left w:val="single" w:sz="24" w:space="0" w:color="FFFFFF"/>
              <w:bottom w:val="single" w:sz="2" w:space="0" w:color="000000"/>
              <w:right w:val="single" w:sz="24" w:space="0" w:color="FFFFFF"/>
            </w:tcBorders>
            <w:noWrap/>
            <w:vAlign w:val="bottom"/>
          </w:tcPr>
          <w:p w14:paraId="711D9EB2" w14:textId="77777777" w:rsidR="00767A78" w:rsidRPr="00862438" w:rsidRDefault="00767A78" w:rsidP="00887C4F">
            <w:pPr>
              <w:pStyle w:val="Tfirstnumber"/>
              <w:keepNext/>
            </w:pPr>
            <w:r w:rsidRPr="00862438">
              <w:t>Change</w:t>
            </w:r>
          </w:p>
        </w:tc>
        <w:tc>
          <w:tcPr>
            <w:tcW w:w="1134" w:type="dxa"/>
            <w:tcBorders>
              <w:left w:val="single" w:sz="24" w:space="0" w:color="FFFFFF"/>
              <w:bottom w:val="single" w:sz="2" w:space="0" w:color="000000"/>
              <w:right w:val="single" w:sz="24" w:space="0" w:color="FFFFFF"/>
            </w:tcBorders>
            <w:vAlign w:val="bottom"/>
          </w:tcPr>
          <w:p w14:paraId="185E0FB9" w14:textId="77777777" w:rsidR="00767A78" w:rsidRPr="00862438" w:rsidRDefault="00767A78" w:rsidP="00887C4F">
            <w:pPr>
              <w:pStyle w:val="Tfirstnumber"/>
              <w:keepNext/>
            </w:pPr>
            <w:r w:rsidRPr="00862438">
              <w:t xml:space="preserve"> 2019</w:t>
            </w:r>
          </w:p>
        </w:tc>
        <w:tc>
          <w:tcPr>
            <w:tcW w:w="1134" w:type="dxa"/>
            <w:tcBorders>
              <w:left w:val="single" w:sz="24" w:space="0" w:color="FFFFFF"/>
              <w:bottom w:val="single" w:sz="2" w:space="0" w:color="000000"/>
              <w:right w:val="single" w:sz="24" w:space="0" w:color="FFFFFF"/>
            </w:tcBorders>
            <w:shd w:val="clear" w:color="000000" w:fill="D9F1FB"/>
            <w:vAlign w:val="bottom"/>
          </w:tcPr>
          <w:p w14:paraId="6B8DE5D3" w14:textId="77777777" w:rsidR="00767A78" w:rsidRPr="00862438" w:rsidRDefault="00767A78" w:rsidP="00887C4F">
            <w:pPr>
              <w:pStyle w:val="Tfirstnumber"/>
              <w:keepNext/>
            </w:pPr>
            <w:bookmarkStart w:id="8" w:name="RANGE!S7:S65"/>
            <w:r w:rsidRPr="00862438">
              <w:t xml:space="preserve"> 2020</w:t>
            </w:r>
            <w:bookmarkEnd w:id="8"/>
          </w:p>
        </w:tc>
        <w:tc>
          <w:tcPr>
            <w:tcW w:w="1134" w:type="dxa"/>
            <w:tcBorders>
              <w:left w:val="single" w:sz="24" w:space="0" w:color="FFFFFF"/>
              <w:bottom w:val="single" w:sz="2" w:space="0" w:color="000000"/>
            </w:tcBorders>
            <w:noWrap/>
            <w:vAlign w:val="bottom"/>
          </w:tcPr>
          <w:p w14:paraId="3DB6C3A4" w14:textId="77777777" w:rsidR="00767A78" w:rsidRPr="00862438" w:rsidRDefault="00767A78" w:rsidP="00887C4F">
            <w:pPr>
              <w:pStyle w:val="Tfirstnumber"/>
              <w:keepNext/>
            </w:pPr>
            <w:r w:rsidRPr="00862438">
              <w:t>Change</w:t>
            </w:r>
          </w:p>
        </w:tc>
      </w:tr>
      <w:tr w:rsidR="00767A78" w:rsidRPr="00862438" w14:paraId="1C81A91F" w14:textId="77777777" w:rsidTr="00767A78">
        <w:trPr>
          <w:tblHeader/>
        </w:trPr>
        <w:tc>
          <w:tcPr>
            <w:tcW w:w="3402" w:type="dxa"/>
            <w:tcBorders>
              <w:bottom w:val="single" w:sz="2" w:space="0" w:color="000000"/>
              <w:right w:val="single" w:sz="24" w:space="0" w:color="FFFFFF"/>
            </w:tcBorders>
            <w:noWrap/>
            <w:vAlign w:val="center"/>
          </w:tcPr>
          <w:p w14:paraId="666202A5" w14:textId="77777777" w:rsidR="00767A78" w:rsidRPr="00862438" w:rsidRDefault="00767A78" w:rsidP="00887C4F">
            <w:pPr>
              <w:pStyle w:val="Tlasttext"/>
              <w:keepNext/>
            </w:pPr>
            <w:bookmarkStart w:id="9" w:name="RANGE!L8:T8"/>
            <w:r w:rsidRPr="00862438">
              <w:t> </w:t>
            </w:r>
            <w:bookmarkEnd w:id="9"/>
          </w:p>
        </w:tc>
        <w:tc>
          <w:tcPr>
            <w:tcW w:w="1134" w:type="dxa"/>
            <w:tcBorders>
              <w:top w:val="single" w:sz="2" w:space="0" w:color="000000"/>
              <w:left w:val="single" w:sz="24" w:space="0" w:color="FFFFFF"/>
              <w:bottom w:val="single" w:sz="2" w:space="0" w:color="000000"/>
              <w:right w:val="single" w:sz="24" w:space="0" w:color="FFFFFF"/>
            </w:tcBorders>
            <w:vAlign w:val="center"/>
          </w:tcPr>
          <w:p w14:paraId="590C51D3" w14:textId="77777777" w:rsidR="00767A78" w:rsidRPr="00862438" w:rsidRDefault="00767A78" w:rsidP="00887C4F">
            <w:pPr>
              <w:pStyle w:val="Tlastnumber"/>
              <w:keepNext/>
            </w:pPr>
            <w:r w:rsidRPr="00862438">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48ABFC58" w14:textId="77777777" w:rsidR="00767A78" w:rsidRPr="00862438" w:rsidRDefault="00767A78" w:rsidP="00887C4F">
            <w:pPr>
              <w:pStyle w:val="Tlastnumber"/>
              <w:keepNext/>
            </w:pPr>
            <w:r w:rsidRPr="00862438">
              <w:t>€ million</w:t>
            </w:r>
          </w:p>
        </w:tc>
        <w:tc>
          <w:tcPr>
            <w:tcW w:w="1134" w:type="dxa"/>
            <w:tcBorders>
              <w:top w:val="single" w:sz="2" w:space="0" w:color="000000"/>
              <w:left w:val="single" w:sz="24" w:space="0" w:color="FFFFFF"/>
              <w:bottom w:val="single" w:sz="2" w:space="0" w:color="000000"/>
              <w:right w:val="single" w:sz="24" w:space="0" w:color="FFFFFF"/>
            </w:tcBorders>
            <w:vAlign w:val="center"/>
          </w:tcPr>
          <w:p w14:paraId="08FC9D01" w14:textId="77777777" w:rsidR="00767A78" w:rsidRPr="00862438" w:rsidRDefault="00767A78" w:rsidP="00887C4F">
            <w:pPr>
              <w:pStyle w:val="Tlastnumber"/>
              <w:keepNext/>
            </w:pPr>
            <w:r w:rsidRPr="00862438">
              <w:t>in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5E1FEB74" w14:textId="77777777" w:rsidR="00767A78" w:rsidRPr="00862438" w:rsidRDefault="00767A78" w:rsidP="00887C4F">
            <w:pPr>
              <w:pStyle w:val="Tlastnumber"/>
              <w:keepNext/>
            </w:pPr>
            <w:r w:rsidRPr="00862438">
              <w:t>€ million</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0998B4E9" w14:textId="77777777" w:rsidR="00767A78" w:rsidRPr="00862438" w:rsidRDefault="00767A78" w:rsidP="00887C4F">
            <w:pPr>
              <w:pStyle w:val="Tlastnumber"/>
              <w:keepNext/>
            </w:pPr>
            <w:r w:rsidRPr="00862438">
              <w:t>€ million</w:t>
            </w:r>
          </w:p>
        </w:tc>
        <w:tc>
          <w:tcPr>
            <w:tcW w:w="1134" w:type="dxa"/>
            <w:tcBorders>
              <w:top w:val="single" w:sz="2" w:space="0" w:color="000000"/>
              <w:left w:val="single" w:sz="24" w:space="0" w:color="FFFFFF"/>
              <w:bottom w:val="single" w:sz="2" w:space="0" w:color="000000"/>
            </w:tcBorders>
            <w:vAlign w:val="center"/>
          </w:tcPr>
          <w:p w14:paraId="4260F41C" w14:textId="77777777" w:rsidR="00767A78" w:rsidRPr="00862438" w:rsidRDefault="00767A78" w:rsidP="00887C4F">
            <w:pPr>
              <w:pStyle w:val="Tlastnumber"/>
              <w:keepNext/>
            </w:pPr>
            <w:r w:rsidRPr="00862438">
              <w:t>in %</w:t>
            </w:r>
          </w:p>
        </w:tc>
      </w:tr>
      <w:tr w:rsidR="00767A78" w:rsidRPr="00862438" w14:paraId="71523CD7" w14:textId="77777777" w:rsidTr="00767A78">
        <w:tc>
          <w:tcPr>
            <w:tcW w:w="3402" w:type="dxa"/>
            <w:tcBorders>
              <w:top w:val="single" w:sz="2" w:space="0" w:color="000000"/>
              <w:bottom w:val="single" w:sz="2" w:space="0" w:color="000000"/>
              <w:right w:val="single" w:sz="24" w:space="0" w:color="FFFFFF"/>
            </w:tcBorders>
            <w:shd w:val="clear" w:color="000000" w:fill="80CFF2"/>
          </w:tcPr>
          <w:p w14:paraId="3541C0A9" w14:textId="77777777" w:rsidR="00767A78" w:rsidRPr="00862438" w:rsidRDefault="00767A78" w:rsidP="00887C4F">
            <w:pPr>
              <w:pStyle w:val="Ttextbold"/>
              <w:keepNext/>
            </w:pPr>
            <w:bookmarkStart w:id="10" w:name="RANGE!L9:T9"/>
            <w:r w:rsidRPr="00862438">
              <w:t>Covestro Group</w:t>
            </w:r>
            <w:bookmarkEnd w:id="10"/>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3688E84A" w14:textId="77777777" w:rsidR="00767A78" w:rsidRPr="00862438" w:rsidRDefault="00767A78" w:rsidP="00887C4F">
            <w:pPr>
              <w:pStyle w:val="Tnumberbold"/>
              <w:keepNext/>
            </w:pPr>
            <w:r w:rsidRPr="00862438">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D443101" w14:textId="77777777" w:rsidR="00767A78" w:rsidRPr="00862438" w:rsidRDefault="00767A78" w:rsidP="00887C4F">
            <w:pPr>
              <w:pStyle w:val="Tnumberbold"/>
              <w:keepNext/>
            </w:pPr>
            <w:r w:rsidRPr="00862438">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7C18D032" w14:textId="77777777" w:rsidR="00767A78" w:rsidRPr="00862438" w:rsidRDefault="00767A78" w:rsidP="00887C4F">
            <w:pPr>
              <w:pStyle w:val="Tnumberbold"/>
              <w:keepNext/>
            </w:pPr>
            <w:r w:rsidRPr="00862438">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EF81063" w14:textId="77777777" w:rsidR="00767A78" w:rsidRPr="00862438" w:rsidRDefault="00767A78" w:rsidP="00887C4F">
            <w:pPr>
              <w:pStyle w:val="Tnumberbold"/>
              <w:keepNext/>
            </w:pPr>
            <w:r w:rsidRPr="00862438">
              <w:rPr>
                <w:b/>
                <w:bCs/>
              </w:rPr>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D999A7A" w14:textId="77777777" w:rsidR="00767A78" w:rsidRPr="00862438" w:rsidRDefault="00767A78" w:rsidP="00887C4F">
            <w:pPr>
              <w:pStyle w:val="Tnumberbold"/>
              <w:keepNext/>
            </w:pPr>
            <w:r w:rsidRPr="00862438">
              <w:rPr>
                <w:b/>
                <w:bCs/>
              </w:rPr>
              <w:t> </w:t>
            </w:r>
          </w:p>
        </w:tc>
        <w:tc>
          <w:tcPr>
            <w:tcW w:w="1134" w:type="dxa"/>
            <w:tcBorders>
              <w:top w:val="single" w:sz="2" w:space="0" w:color="000000"/>
              <w:left w:val="single" w:sz="24" w:space="0" w:color="FFFFFF"/>
              <w:bottom w:val="single" w:sz="2" w:space="0" w:color="000000"/>
            </w:tcBorders>
            <w:shd w:val="clear" w:color="000000" w:fill="80CFF2"/>
            <w:noWrap/>
          </w:tcPr>
          <w:p w14:paraId="38C82578" w14:textId="77777777" w:rsidR="00767A78" w:rsidRPr="00862438" w:rsidRDefault="00767A78" w:rsidP="00887C4F">
            <w:pPr>
              <w:pStyle w:val="Tnumberbold"/>
              <w:keepNext/>
            </w:pPr>
            <w:r w:rsidRPr="00862438">
              <w:t> </w:t>
            </w:r>
          </w:p>
        </w:tc>
      </w:tr>
      <w:tr w:rsidR="00767A78" w:rsidRPr="00862438" w14:paraId="22834CBD" w14:textId="77777777" w:rsidTr="00767A78">
        <w:tc>
          <w:tcPr>
            <w:tcW w:w="3402" w:type="dxa"/>
            <w:tcBorders>
              <w:top w:val="single" w:sz="2" w:space="0" w:color="000000"/>
              <w:bottom w:val="single" w:sz="2" w:space="0" w:color="000000"/>
              <w:right w:val="single" w:sz="24" w:space="0" w:color="FFFFFF"/>
            </w:tcBorders>
            <w:noWrap/>
          </w:tcPr>
          <w:p w14:paraId="7AF4F28C" w14:textId="77777777" w:rsidR="00767A78" w:rsidRPr="00862438" w:rsidRDefault="00767A78" w:rsidP="00887C4F">
            <w:pPr>
              <w:pStyle w:val="Ttext"/>
              <w:keepNext/>
            </w:pPr>
            <w:r w:rsidRPr="00862438">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2209DB2C" w14:textId="77777777" w:rsidR="00767A78" w:rsidRPr="00862438" w:rsidRDefault="00767A78" w:rsidP="00887C4F">
            <w:pPr>
              <w:pStyle w:val="Tnumber"/>
              <w:keepNext/>
            </w:pPr>
            <w:r w:rsidRPr="00862438">
              <w:t>+3.8%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F29F9A1" w14:textId="77777777" w:rsidR="00767A78" w:rsidRPr="00862438" w:rsidRDefault="00767A78" w:rsidP="00887C4F">
            <w:pPr>
              <w:pStyle w:val="Tnumber"/>
              <w:keepNext/>
            </w:pPr>
            <w:r w:rsidRPr="00862438">
              <w:t>+1.7%</w:t>
            </w:r>
          </w:p>
        </w:tc>
        <w:tc>
          <w:tcPr>
            <w:tcW w:w="1134" w:type="dxa"/>
            <w:tcBorders>
              <w:top w:val="single" w:sz="2" w:space="0" w:color="000000"/>
              <w:left w:val="single" w:sz="24" w:space="0" w:color="FFFFFF"/>
              <w:bottom w:val="single" w:sz="2" w:space="0" w:color="000000"/>
              <w:right w:val="single" w:sz="24" w:space="0" w:color="FFFFFF"/>
            </w:tcBorders>
            <w:noWrap/>
          </w:tcPr>
          <w:p w14:paraId="385A7CBE"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02704431" w14:textId="77777777" w:rsidR="00767A78" w:rsidRPr="00862438" w:rsidRDefault="00767A78" w:rsidP="00887C4F">
            <w:pPr>
              <w:pStyle w:val="Tnumber"/>
              <w:keepNext/>
            </w:pPr>
            <w:r w:rsidRPr="00862438">
              <w:t>+2.0%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7F4C400" w14:textId="77777777" w:rsidR="00767A78" w:rsidRPr="00862438" w:rsidRDefault="00767A78" w:rsidP="00887C4F">
            <w:pPr>
              <w:pStyle w:val="Tnumber"/>
              <w:keepNext/>
            </w:pPr>
            <w:r w:rsidRPr="00862438">
              <w:t>–5.6%</w:t>
            </w:r>
          </w:p>
        </w:tc>
        <w:tc>
          <w:tcPr>
            <w:tcW w:w="1134" w:type="dxa"/>
            <w:tcBorders>
              <w:top w:val="single" w:sz="2" w:space="0" w:color="000000"/>
              <w:left w:val="single" w:sz="24" w:space="0" w:color="FFFFFF"/>
              <w:bottom w:val="single" w:sz="2" w:space="0" w:color="000000"/>
            </w:tcBorders>
            <w:noWrap/>
          </w:tcPr>
          <w:p w14:paraId="740FF051" w14:textId="77777777" w:rsidR="00767A78" w:rsidRPr="00862438" w:rsidRDefault="00767A78" w:rsidP="00887C4F">
            <w:pPr>
              <w:pStyle w:val="Tnumber"/>
              <w:keepNext/>
            </w:pPr>
            <w:r w:rsidRPr="00862438">
              <w:t> </w:t>
            </w:r>
          </w:p>
        </w:tc>
      </w:tr>
      <w:tr w:rsidR="00767A78" w:rsidRPr="00862438" w14:paraId="0CDE0BF2" w14:textId="77777777" w:rsidTr="00767A78">
        <w:tc>
          <w:tcPr>
            <w:tcW w:w="3402" w:type="dxa"/>
            <w:tcBorders>
              <w:top w:val="single" w:sz="2" w:space="0" w:color="000000"/>
              <w:bottom w:val="single" w:sz="2" w:space="0" w:color="000000"/>
              <w:right w:val="single" w:sz="24" w:space="0" w:color="FFFFFF"/>
            </w:tcBorders>
            <w:noWrap/>
          </w:tcPr>
          <w:p w14:paraId="2223A523" w14:textId="77777777" w:rsidR="00767A78" w:rsidRPr="00862438" w:rsidRDefault="00767A78" w:rsidP="00887C4F">
            <w:pPr>
              <w:pStyle w:val="Ttext"/>
              <w:keepNext/>
            </w:pPr>
            <w:r w:rsidRPr="00862438">
              <w:t>Sales</w:t>
            </w:r>
          </w:p>
        </w:tc>
        <w:tc>
          <w:tcPr>
            <w:tcW w:w="1134" w:type="dxa"/>
            <w:tcBorders>
              <w:top w:val="single" w:sz="2" w:space="0" w:color="000000"/>
              <w:left w:val="single" w:sz="24" w:space="0" w:color="FFFFFF"/>
              <w:bottom w:val="single" w:sz="2" w:space="0" w:color="000000"/>
              <w:right w:val="single" w:sz="24" w:space="0" w:color="FFFFFF"/>
            </w:tcBorders>
            <w:noWrap/>
          </w:tcPr>
          <w:p w14:paraId="4C82E537" w14:textId="77777777" w:rsidR="00767A78" w:rsidRPr="00862438" w:rsidRDefault="00767A78" w:rsidP="00887C4F">
            <w:pPr>
              <w:pStyle w:val="Tnumber"/>
              <w:keepNext/>
            </w:pPr>
            <w:r w:rsidRPr="00862438">
              <w:t>2,864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4A03CFB" w14:textId="77777777" w:rsidR="00767A78" w:rsidRPr="00862438" w:rsidRDefault="00767A78" w:rsidP="00887C4F">
            <w:pPr>
              <w:pStyle w:val="Tnumber"/>
              <w:keepNext/>
            </w:pPr>
            <w:r w:rsidRPr="00862438">
              <w:t>3,007</w:t>
            </w:r>
          </w:p>
        </w:tc>
        <w:tc>
          <w:tcPr>
            <w:tcW w:w="1134" w:type="dxa"/>
            <w:tcBorders>
              <w:top w:val="single" w:sz="2" w:space="0" w:color="000000"/>
              <w:left w:val="single" w:sz="24" w:space="0" w:color="FFFFFF"/>
              <w:bottom w:val="single" w:sz="2" w:space="0" w:color="000000"/>
              <w:right w:val="single" w:sz="24" w:space="0" w:color="FFFFFF"/>
            </w:tcBorders>
            <w:noWrap/>
          </w:tcPr>
          <w:p w14:paraId="22504666" w14:textId="77777777" w:rsidR="00767A78" w:rsidRPr="00862438" w:rsidRDefault="00767A78" w:rsidP="00887C4F">
            <w:pPr>
              <w:pStyle w:val="Tnumber"/>
              <w:keepNext/>
            </w:pPr>
            <w:r w:rsidRPr="00862438">
              <w:t>+5.0</w:t>
            </w:r>
          </w:p>
        </w:tc>
        <w:tc>
          <w:tcPr>
            <w:tcW w:w="1134" w:type="dxa"/>
            <w:tcBorders>
              <w:top w:val="single" w:sz="2" w:space="0" w:color="000000"/>
              <w:left w:val="single" w:sz="24" w:space="0" w:color="FFFFFF"/>
              <w:bottom w:val="single" w:sz="2" w:space="0" w:color="000000"/>
              <w:right w:val="single" w:sz="24" w:space="0" w:color="FFFFFF"/>
            </w:tcBorders>
            <w:noWrap/>
          </w:tcPr>
          <w:p w14:paraId="7CA96907" w14:textId="77777777" w:rsidR="00767A78" w:rsidRPr="00862438" w:rsidRDefault="00767A78" w:rsidP="00887C4F">
            <w:pPr>
              <w:pStyle w:val="Tnumber"/>
              <w:keepNext/>
            </w:pPr>
            <w:r w:rsidRPr="00862438">
              <w:t>12,412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A2F37AB" w14:textId="77777777" w:rsidR="00767A78" w:rsidRPr="00862438" w:rsidRDefault="00767A78" w:rsidP="00887C4F">
            <w:pPr>
              <w:pStyle w:val="Tnumber"/>
              <w:keepNext/>
            </w:pPr>
            <w:r w:rsidRPr="00862438">
              <w:t>10,706</w:t>
            </w:r>
          </w:p>
        </w:tc>
        <w:tc>
          <w:tcPr>
            <w:tcW w:w="1134" w:type="dxa"/>
            <w:tcBorders>
              <w:top w:val="single" w:sz="2" w:space="0" w:color="000000"/>
              <w:left w:val="single" w:sz="24" w:space="0" w:color="FFFFFF"/>
              <w:bottom w:val="single" w:sz="2" w:space="0" w:color="000000"/>
            </w:tcBorders>
            <w:noWrap/>
          </w:tcPr>
          <w:p w14:paraId="507753FE" w14:textId="77777777" w:rsidR="00767A78" w:rsidRPr="00862438" w:rsidRDefault="00767A78" w:rsidP="00887C4F">
            <w:pPr>
              <w:pStyle w:val="Tnumber"/>
              <w:keepNext/>
            </w:pPr>
            <w:r w:rsidRPr="00862438">
              <w:t>–13.7</w:t>
            </w:r>
          </w:p>
        </w:tc>
      </w:tr>
      <w:tr w:rsidR="00767A78" w:rsidRPr="00862438" w14:paraId="4FCFE6FB" w14:textId="77777777" w:rsidTr="00767A78">
        <w:tc>
          <w:tcPr>
            <w:tcW w:w="3402" w:type="dxa"/>
            <w:tcBorders>
              <w:top w:val="single" w:sz="2" w:space="0" w:color="000000"/>
              <w:bottom w:val="single" w:sz="2" w:space="0" w:color="000000"/>
              <w:right w:val="single" w:sz="24" w:space="0" w:color="FFFFFF"/>
            </w:tcBorders>
            <w:noWrap/>
          </w:tcPr>
          <w:p w14:paraId="3D7D0022" w14:textId="77777777" w:rsidR="00767A78" w:rsidRPr="00862438" w:rsidRDefault="00767A78" w:rsidP="00887C4F">
            <w:pPr>
              <w:pStyle w:val="Ttext"/>
              <w:keepNext/>
            </w:pPr>
            <w:r w:rsidRPr="00862438">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7F7ADB2F"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7379B2D"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1B48E5FE"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56ABF02D"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D29E350"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tcBorders>
            <w:noWrap/>
          </w:tcPr>
          <w:p w14:paraId="6B023C4B" w14:textId="77777777" w:rsidR="00767A78" w:rsidRPr="00862438" w:rsidRDefault="00767A78" w:rsidP="00887C4F">
            <w:pPr>
              <w:pStyle w:val="Tnumber"/>
              <w:keepNext/>
            </w:pPr>
            <w:r w:rsidRPr="00862438">
              <w:t> </w:t>
            </w:r>
          </w:p>
        </w:tc>
      </w:tr>
      <w:tr w:rsidR="00767A78" w:rsidRPr="00862438" w14:paraId="72C4057B" w14:textId="77777777" w:rsidTr="00767A78">
        <w:tc>
          <w:tcPr>
            <w:tcW w:w="3402" w:type="dxa"/>
            <w:tcBorders>
              <w:top w:val="single" w:sz="2" w:space="0" w:color="000000"/>
              <w:bottom w:val="single" w:sz="2" w:space="0" w:color="000000"/>
              <w:right w:val="single" w:sz="24" w:space="0" w:color="FFFFFF"/>
            </w:tcBorders>
            <w:noWrap/>
          </w:tcPr>
          <w:p w14:paraId="75DD0E03" w14:textId="77777777" w:rsidR="00767A78" w:rsidRPr="00862438" w:rsidRDefault="00767A78" w:rsidP="00887C4F">
            <w:pPr>
              <w:pStyle w:val="Ttextindent1"/>
              <w:keepNext/>
            </w:pPr>
            <w:bookmarkStart w:id="11" w:name="RANGE!L13:L16"/>
            <w:r w:rsidRPr="00862438">
              <w:t>Volume</w:t>
            </w:r>
            <w:bookmarkEnd w:id="11"/>
          </w:p>
        </w:tc>
        <w:tc>
          <w:tcPr>
            <w:tcW w:w="1134" w:type="dxa"/>
            <w:tcBorders>
              <w:top w:val="single" w:sz="2" w:space="0" w:color="000000"/>
              <w:left w:val="single" w:sz="24" w:space="0" w:color="FFFFFF"/>
              <w:bottom w:val="single" w:sz="2" w:space="0" w:color="000000"/>
              <w:right w:val="single" w:sz="24" w:space="0" w:color="FFFFFF"/>
            </w:tcBorders>
            <w:noWrap/>
          </w:tcPr>
          <w:p w14:paraId="3C6F7955" w14:textId="77777777" w:rsidR="00767A78" w:rsidRPr="00862438" w:rsidRDefault="00767A78" w:rsidP="00887C4F">
            <w:pPr>
              <w:pStyle w:val="Tnumber"/>
              <w:keepNext/>
            </w:pPr>
            <w:r w:rsidRPr="00862438">
              <w:t>–0.7%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B8E8F9E" w14:textId="77777777" w:rsidR="00767A78" w:rsidRPr="00862438" w:rsidRDefault="00767A78" w:rsidP="00887C4F">
            <w:pPr>
              <w:pStyle w:val="Tnumber"/>
              <w:keepNext/>
            </w:pPr>
            <w:r w:rsidRPr="00862438">
              <w:t>+4.7%</w:t>
            </w:r>
          </w:p>
        </w:tc>
        <w:tc>
          <w:tcPr>
            <w:tcW w:w="1134" w:type="dxa"/>
            <w:tcBorders>
              <w:top w:val="single" w:sz="2" w:space="0" w:color="000000"/>
              <w:left w:val="single" w:sz="24" w:space="0" w:color="FFFFFF"/>
              <w:bottom w:val="single" w:sz="2" w:space="0" w:color="000000"/>
              <w:right w:val="single" w:sz="24" w:space="0" w:color="FFFFFF"/>
            </w:tcBorders>
            <w:noWrap/>
          </w:tcPr>
          <w:p w14:paraId="47285CCA"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727C9AA8" w14:textId="77777777" w:rsidR="00767A78" w:rsidRPr="00862438" w:rsidRDefault="00767A78" w:rsidP="00887C4F">
            <w:pPr>
              <w:pStyle w:val="Tnumber"/>
              <w:keepNext/>
            </w:pPr>
            <w:r w:rsidRPr="00862438">
              <w:t>+0.8%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14600BD" w14:textId="77777777" w:rsidR="00767A78" w:rsidRPr="00862438" w:rsidRDefault="00767A78" w:rsidP="00887C4F">
            <w:pPr>
              <w:pStyle w:val="Tnumber"/>
              <w:keepNext/>
            </w:pPr>
            <w:r w:rsidRPr="00862438">
              <w:t>–5.1%</w:t>
            </w:r>
          </w:p>
        </w:tc>
        <w:tc>
          <w:tcPr>
            <w:tcW w:w="1134" w:type="dxa"/>
            <w:tcBorders>
              <w:top w:val="single" w:sz="2" w:space="0" w:color="000000"/>
              <w:left w:val="single" w:sz="24" w:space="0" w:color="FFFFFF"/>
              <w:bottom w:val="single" w:sz="2" w:space="0" w:color="000000"/>
            </w:tcBorders>
            <w:noWrap/>
          </w:tcPr>
          <w:p w14:paraId="6597271A" w14:textId="77777777" w:rsidR="00767A78" w:rsidRPr="00862438" w:rsidRDefault="00767A78" w:rsidP="00887C4F">
            <w:pPr>
              <w:pStyle w:val="Tnumber"/>
              <w:keepNext/>
            </w:pPr>
            <w:r w:rsidRPr="00862438">
              <w:t> </w:t>
            </w:r>
          </w:p>
        </w:tc>
      </w:tr>
      <w:tr w:rsidR="00767A78" w:rsidRPr="00862438" w14:paraId="3A212CF9" w14:textId="77777777" w:rsidTr="00767A78">
        <w:tc>
          <w:tcPr>
            <w:tcW w:w="3402" w:type="dxa"/>
            <w:tcBorders>
              <w:top w:val="single" w:sz="2" w:space="0" w:color="000000"/>
              <w:bottom w:val="single" w:sz="2" w:space="0" w:color="000000"/>
              <w:right w:val="single" w:sz="24" w:space="0" w:color="FFFFFF"/>
            </w:tcBorders>
            <w:noWrap/>
          </w:tcPr>
          <w:p w14:paraId="6513353F" w14:textId="77777777" w:rsidR="00767A78" w:rsidRPr="00862438" w:rsidRDefault="00767A78" w:rsidP="00887C4F">
            <w:pPr>
              <w:pStyle w:val="Ttextindent1"/>
              <w:keepNext/>
            </w:pPr>
            <w:r w:rsidRPr="00862438">
              <w:t>Price</w:t>
            </w:r>
          </w:p>
        </w:tc>
        <w:tc>
          <w:tcPr>
            <w:tcW w:w="1134" w:type="dxa"/>
            <w:tcBorders>
              <w:top w:val="single" w:sz="2" w:space="0" w:color="000000"/>
              <w:left w:val="single" w:sz="24" w:space="0" w:color="FFFFFF"/>
              <w:bottom w:val="single" w:sz="2" w:space="0" w:color="000000"/>
              <w:right w:val="single" w:sz="24" w:space="0" w:color="FFFFFF"/>
            </w:tcBorders>
            <w:noWrap/>
          </w:tcPr>
          <w:p w14:paraId="2CEE8B94" w14:textId="77777777" w:rsidR="00767A78" w:rsidRPr="00862438" w:rsidRDefault="00767A78" w:rsidP="00887C4F">
            <w:pPr>
              <w:pStyle w:val="Tnumber"/>
              <w:keepNext/>
            </w:pPr>
            <w:r w:rsidRPr="00862438">
              <w:t>–13.3%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66D7080" w14:textId="77777777" w:rsidR="00767A78" w:rsidRPr="00862438" w:rsidRDefault="00767A78" w:rsidP="00887C4F">
            <w:pPr>
              <w:pStyle w:val="Tnumber"/>
              <w:keepNext/>
            </w:pPr>
            <w:r w:rsidRPr="00862438">
              <w:t>+5.4%</w:t>
            </w:r>
          </w:p>
        </w:tc>
        <w:tc>
          <w:tcPr>
            <w:tcW w:w="1134" w:type="dxa"/>
            <w:tcBorders>
              <w:top w:val="single" w:sz="2" w:space="0" w:color="000000"/>
              <w:left w:val="single" w:sz="24" w:space="0" w:color="FFFFFF"/>
              <w:bottom w:val="single" w:sz="2" w:space="0" w:color="000000"/>
              <w:right w:val="single" w:sz="24" w:space="0" w:color="FFFFFF"/>
            </w:tcBorders>
            <w:noWrap/>
          </w:tcPr>
          <w:p w14:paraId="3F81C022"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6FB4A5D3" w14:textId="77777777" w:rsidR="00767A78" w:rsidRPr="00862438" w:rsidRDefault="00767A78" w:rsidP="00887C4F">
            <w:pPr>
              <w:pStyle w:val="Tnumber"/>
              <w:keepNext/>
            </w:pPr>
            <w:r w:rsidRPr="00862438">
              <w:t>–17.3%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04A88D1" w14:textId="77777777" w:rsidR="00767A78" w:rsidRPr="00862438" w:rsidRDefault="00767A78" w:rsidP="00887C4F">
            <w:pPr>
              <w:pStyle w:val="Tnumber"/>
              <w:keepNext/>
            </w:pPr>
            <w:r w:rsidRPr="00862438">
              <w:t>–5.7%</w:t>
            </w:r>
          </w:p>
        </w:tc>
        <w:tc>
          <w:tcPr>
            <w:tcW w:w="1134" w:type="dxa"/>
            <w:tcBorders>
              <w:top w:val="single" w:sz="2" w:space="0" w:color="000000"/>
              <w:left w:val="single" w:sz="24" w:space="0" w:color="FFFFFF"/>
              <w:bottom w:val="single" w:sz="2" w:space="0" w:color="000000"/>
            </w:tcBorders>
            <w:noWrap/>
          </w:tcPr>
          <w:p w14:paraId="466F6276" w14:textId="77777777" w:rsidR="00767A78" w:rsidRPr="00862438" w:rsidRDefault="00767A78" w:rsidP="00887C4F">
            <w:pPr>
              <w:pStyle w:val="Tnumber"/>
              <w:keepNext/>
            </w:pPr>
            <w:r w:rsidRPr="00862438">
              <w:t> </w:t>
            </w:r>
          </w:p>
        </w:tc>
      </w:tr>
      <w:tr w:rsidR="00767A78" w:rsidRPr="00862438" w14:paraId="438FFBCB" w14:textId="77777777" w:rsidTr="00767A78">
        <w:tc>
          <w:tcPr>
            <w:tcW w:w="3402" w:type="dxa"/>
            <w:tcBorders>
              <w:top w:val="single" w:sz="2" w:space="0" w:color="000000"/>
              <w:bottom w:val="single" w:sz="2" w:space="0" w:color="000000"/>
              <w:right w:val="single" w:sz="24" w:space="0" w:color="FFFFFF"/>
            </w:tcBorders>
            <w:noWrap/>
          </w:tcPr>
          <w:p w14:paraId="25C72819" w14:textId="77777777" w:rsidR="00767A78" w:rsidRPr="00862438" w:rsidRDefault="00767A78" w:rsidP="00887C4F">
            <w:pPr>
              <w:pStyle w:val="Ttextindent1"/>
              <w:keepNext/>
            </w:pPr>
            <w:r w:rsidRPr="00862438">
              <w:t>Currency</w:t>
            </w:r>
          </w:p>
        </w:tc>
        <w:tc>
          <w:tcPr>
            <w:tcW w:w="1134" w:type="dxa"/>
            <w:tcBorders>
              <w:top w:val="single" w:sz="2" w:space="0" w:color="000000"/>
              <w:left w:val="single" w:sz="24" w:space="0" w:color="FFFFFF"/>
              <w:bottom w:val="single" w:sz="2" w:space="0" w:color="000000"/>
              <w:right w:val="single" w:sz="24" w:space="0" w:color="FFFFFF"/>
            </w:tcBorders>
            <w:noWrap/>
          </w:tcPr>
          <w:p w14:paraId="645A002D" w14:textId="77777777" w:rsidR="00767A78" w:rsidRPr="00862438" w:rsidRDefault="00767A78" w:rsidP="00887C4F">
            <w:pPr>
              <w:pStyle w:val="Tnumber"/>
              <w:keepNext/>
            </w:pPr>
            <w:r w:rsidRPr="00862438">
              <w:t>+1.5%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BC5A7EB" w14:textId="77777777" w:rsidR="00767A78" w:rsidRPr="00862438" w:rsidRDefault="00767A78" w:rsidP="00887C4F">
            <w:pPr>
              <w:pStyle w:val="Tnumber"/>
              <w:keepNext/>
            </w:pPr>
            <w:r w:rsidRPr="00862438">
              <w:t>–4.0%</w:t>
            </w:r>
          </w:p>
        </w:tc>
        <w:tc>
          <w:tcPr>
            <w:tcW w:w="1134" w:type="dxa"/>
            <w:tcBorders>
              <w:top w:val="single" w:sz="2" w:space="0" w:color="000000"/>
              <w:left w:val="single" w:sz="24" w:space="0" w:color="FFFFFF"/>
              <w:bottom w:val="single" w:sz="2" w:space="0" w:color="000000"/>
              <w:right w:val="single" w:sz="24" w:space="0" w:color="FFFFFF"/>
            </w:tcBorders>
            <w:noWrap/>
          </w:tcPr>
          <w:p w14:paraId="18C7DFF4"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46E7579A" w14:textId="77777777" w:rsidR="00767A78" w:rsidRPr="00862438" w:rsidRDefault="00767A78" w:rsidP="00887C4F">
            <w:pPr>
              <w:pStyle w:val="Tnumber"/>
              <w:keepNext/>
            </w:pPr>
            <w:r w:rsidRPr="00862438">
              <w:t>+1.9%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4187F1F" w14:textId="77777777" w:rsidR="00767A78" w:rsidRPr="00862438" w:rsidRDefault="00767A78" w:rsidP="00887C4F">
            <w:pPr>
              <w:pStyle w:val="Tnumber"/>
              <w:keepNext/>
            </w:pPr>
            <w:r w:rsidRPr="00862438">
              <w:t>–1.6%</w:t>
            </w:r>
          </w:p>
        </w:tc>
        <w:tc>
          <w:tcPr>
            <w:tcW w:w="1134" w:type="dxa"/>
            <w:tcBorders>
              <w:top w:val="single" w:sz="2" w:space="0" w:color="000000"/>
              <w:left w:val="single" w:sz="24" w:space="0" w:color="FFFFFF"/>
              <w:bottom w:val="single" w:sz="2" w:space="0" w:color="000000"/>
            </w:tcBorders>
            <w:noWrap/>
          </w:tcPr>
          <w:p w14:paraId="2AD18960" w14:textId="77777777" w:rsidR="00767A78" w:rsidRPr="00862438" w:rsidRDefault="00767A78" w:rsidP="00887C4F">
            <w:pPr>
              <w:pStyle w:val="Tnumber"/>
              <w:keepNext/>
            </w:pPr>
            <w:r w:rsidRPr="00862438">
              <w:t> </w:t>
            </w:r>
          </w:p>
        </w:tc>
      </w:tr>
      <w:tr w:rsidR="00767A78" w:rsidRPr="00862438" w14:paraId="2A08163B" w14:textId="77777777" w:rsidTr="00767A78">
        <w:tc>
          <w:tcPr>
            <w:tcW w:w="3402" w:type="dxa"/>
            <w:tcBorders>
              <w:top w:val="single" w:sz="2" w:space="0" w:color="000000"/>
              <w:bottom w:val="single" w:sz="2" w:space="0" w:color="000000"/>
              <w:right w:val="single" w:sz="24" w:space="0" w:color="FFFFFF"/>
            </w:tcBorders>
            <w:noWrap/>
          </w:tcPr>
          <w:p w14:paraId="05BB855F" w14:textId="77777777" w:rsidR="00767A78" w:rsidRPr="00862438" w:rsidRDefault="00767A78" w:rsidP="00887C4F">
            <w:pPr>
              <w:pStyle w:val="Ttextindent1"/>
              <w:keepNext/>
            </w:pPr>
            <w:r w:rsidRPr="00862438">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05F85333" w14:textId="77777777" w:rsidR="00767A78" w:rsidRPr="00862438" w:rsidRDefault="00767A78" w:rsidP="00887C4F">
            <w:pPr>
              <w:pStyle w:val="Tnumber"/>
              <w:keepNext/>
            </w:pPr>
            <w:r w:rsidRPr="0086243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29C7C28" w14:textId="77777777" w:rsidR="00767A78" w:rsidRPr="00862438" w:rsidRDefault="00767A78" w:rsidP="00887C4F">
            <w:pPr>
              <w:pStyle w:val="Tnumber"/>
              <w:keepNext/>
            </w:pPr>
            <w:r w:rsidRPr="00862438">
              <w:t>–1.1%</w:t>
            </w:r>
          </w:p>
        </w:tc>
        <w:tc>
          <w:tcPr>
            <w:tcW w:w="1134" w:type="dxa"/>
            <w:tcBorders>
              <w:top w:val="single" w:sz="2" w:space="0" w:color="000000"/>
              <w:left w:val="single" w:sz="24" w:space="0" w:color="FFFFFF"/>
              <w:bottom w:val="single" w:sz="2" w:space="0" w:color="000000"/>
              <w:right w:val="single" w:sz="24" w:space="0" w:color="FFFFFF"/>
            </w:tcBorders>
            <w:noWrap/>
          </w:tcPr>
          <w:p w14:paraId="6853DFF3"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74C349D0" w14:textId="77777777" w:rsidR="00767A78" w:rsidRPr="00862438" w:rsidRDefault="00767A78" w:rsidP="00887C4F">
            <w:pPr>
              <w:pStyle w:val="Tnumber"/>
              <w:keepNext/>
            </w:pPr>
            <w:r w:rsidRPr="00862438">
              <w:t>–0.5%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2F396EB" w14:textId="77777777" w:rsidR="00767A78" w:rsidRPr="00862438" w:rsidRDefault="00767A78" w:rsidP="00887C4F">
            <w:pPr>
              <w:pStyle w:val="Tnumber"/>
              <w:keepNext/>
            </w:pPr>
            <w:r w:rsidRPr="00862438">
              <w:t>–1.3%</w:t>
            </w:r>
          </w:p>
        </w:tc>
        <w:tc>
          <w:tcPr>
            <w:tcW w:w="1134" w:type="dxa"/>
            <w:tcBorders>
              <w:top w:val="single" w:sz="2" w:space="0" w:color="000000"/>
              <w:left w:val="single" w:sz="24" w:space="0" w:color="FFFFFF"/>
              <w:bottom w:val="single" w:sz="2" w:space="0" w:color="000000"/>
            </w:tcBorders>
            <w:noWrap/>
          </w:tcPr>
          <w:p w14:paraId="55F16DA4" w14:textId="77777777" w:rsidR="00767A78" w:rsidRPr="00862438" w:rsidRDefault="00767A78" w:rsidP="00887C4F">
            <w:pPr>
              <w:pStyle w:val="Tnumber"/>
              <w:keepNext/>
            </w:pPr>
            <w:r w:rsidRPr="00862438">
              <w:t> </w:t>
            </w:r>
          </w:p>
        </w:tc>
      </w:tr>
      <w:tr w:rsidR="00767A78" w:rsidRPr="00862438" w14:paraId="6B11DC73" w14:textId="77777777" w:rsidTr="00767A78">
        <w:tc>
          <w:tcPr>
            <w:tcW w:w="3402" w:type="dxa"/>
            <w:tcBorders>
              <w:top w:val="single" w:sz="2" w:space="0" w:color="000000"/>
              <w:bottom w:val="single" w:sz="2" w:space="0" w:color="000000"/>
              <w:right w:val="single" w:sz="24" w:space="0" w:color="FFFFFF"/>
            </w:tcBorders>
            <w:noWrap/>
          </w:tcPr>
          <w:p w14:paraId="1349A443" w14:textId="77777777" w:rsidR="00767A78" w:rsidRPr="00862438" w:rsidRDefault="00767A78" w:rsidP="00887C4F">
            <w:pPr>
              <w:pStyle w:val="Ttext"/>
              <w:keepNext/>
            </w:pPr>
            <w:r w:rsidRPr="00862438">
              <w:t>EBITDA</w:t>
            </w:r>
          </w:p>
        </w:tc>
        <w:tc>
          <w:tcPr>
            <w:tcW w:w="1134" w:type="dxa"/>
            <w:tcBorders>
              <w:top w:val="single" w:sz="2" w:space="0" w:color="000000"/>
              <w:left w:val="single" w:sz="24" w:space="0" w:color="FFFFFF"/>
              <w:bottom w:val="single" w:sz="2" w:space="0" w:color="000000"/>
              <w:right w:val="single" w:sz="24" w:space="0" w:color="FFFFFF"/>
            </w:tcBorders>
            <w:noWrap/>
          </w:tcPr>
          <w:p w14:paraId="0B2F551E" w14:textId="77777777" w:rsidR="00767A78" w:rsidRPr="00862438" w:rsidRDefault="00767A78" w:rsidP="00887C4F">
            <w:pPr>
              <w:pStyle w:val="Tnumber"/>
              <w:keepNext/>
            </w:pPr>
            <w:r w:rsidRPr="00862438">
              <w:t>278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1E10AE9" w14:textId="77777777" w:rsidR="00767A78" w:rsidRPr="00862438" w:rsidRDefault="00767A78" w:rsidP="00887C4F">
            <w:pPr>
              <w:pStyle w:val="Tnumber"/>
              <w:keepNext/>
            </w:pPr>
            <w:r w:rsidRPr="00862438">
              <w:t>637</w:t>
            </w:r>
          </w:p>
        </w:tc>
        <w:tc>
          <w:tcPr>
            <w:tcW w:w="1134" w:type="dxa"/>
            <w:tcBorders>
              <w:top w:val="single" w:sz="2" w:space="0" w:color="000000"/>
              <w:left w:val="single" w:sz="24" w:space="0" w:color="FFFFFF"/>
              <w:bottom w:val="single" w:sz="2" w:space="0" w:color="000000"/>
              <w:right w:val="single" w:sz="24" w:space="0" w:color="FFFFFF"/>
            </w:tcBorders>
            <w:noWrap/>
          </w:tcPr>
          <w:p w14:paraId="216C4A2A" w14:textId="77777777" w:rsidR="00767A78" w:rsidRPr="00862438" w:rsidRDefault="00767A78" w:rsidP="00887C4F">
            <w:pPr>
              <w:pStyle w:val="Tnumber"/>
              <w:keepNext/>
            </w:pPr>
            <w:r w:rsidRPr="00862438">
              <w:t>&gt;100</w:t>
            </w:r>
          </w:p>
        </w:tc>
        <w:tc>
          <w:tcPr>
            <w:tcW w:w="1134" w:type="dxa"/>
            <w:tcBorders>
              <w:top w:val="single" w:sz="2" w:space="0" w:color="000000"/>
              <w:left w:val="single" w:sz="24" w:space="0" w:color="FFFFFF"/>
              <w:bottom w:val="single" w:sz="2" w:space="0" w:color="000000"/>
              <w:right w:val="single" w:sz="24" w:space="0" w:color="FFFFFF"/>
            </w:tcBorders>
            <w:noWrap/>
          </w:tcPr>
          <w:p w14:paraId="5265E59A" w14:textId="77777777" w:rsidR="00767A78" w:rsidRPr="00862438" w:rsidRDefault="00767A78" w:rsidP="00887C4F">
            <w:pPr>
              <w:pStyle w:val="Tnumber"/>
              <w:keepNext/>
            </w:pPr>
            <w:r w:rsidRPr="00862438">
              <w:t>1,604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A263590" w14:textId="77777777" w:rsidR="00767A78" w:rsidRPr="00862438" w:rsidRDefault="00767A78" w:rsidP="00887C4F">
            <w:pPr>
              <w:pStyle w:val="Tnumber"/>
              <w:keepNext/>
            </w:pPr>
            <w:r w:rsidRPr="00862438">
              <w:t>1,472</w:t>
            </w:r>
          </w:p>
        </w:tc>
        <w:tc>
          <w:tcPr>
            <w:tcW w:w="1134" w:type="dxa"/>
            <w:tcBorders>
              <w:top w:val="single" w:sz="2" w:space="0" w:color="000000"/>
              <w:left w:val="single" w:sz="24" w:space="0" w:color="FFFFFF"/>
              <w:bottom w:val="single" w:sz="2" w:space="0" w:color="000000"/>
            </w:tcBorders>
            <w:noWrap/>
          </w:tcPr>
          <w:p w14:paraId="16E1AF61" w14:textId="77777777" w:rsidR="00767A78" w:rsidRPr="00862438" w:rsidRDefault="00767A78" w:rsidP="00887C4F">
            <w:pPr>
              <w:pStyle w:val="Tnumber"/>
              <w:keepNext/>
            </w:pPr>
            <w:r w:rsidRPr="00862438">
              <w:t>–8.2</w:t>
            </w:r>
          </w:p>
        </w:tc>
      </w:tr>
      <w:tr w:rsidR="00767A78" w:rsidRPr="00862438" w14:paraId="58D06825" w14:textId="77777777" w:rsidTr="00767A78">
        <w:tc>
          <w:tcPr>
            <w:tcW w:w="3402" w:type="dxa"/>
            <w:tcBorders>
              <w:top w:val="single" w:sz="2" w:space="0" w:color="000000"/>
              <w:bottom w:val="single" w:sz="2" w:space="0" w:color="000000"/>
              <w:right w:val="single" w:sz="24" w:space="0" w:color="FFFFFF"/>
            </w:tcBorders>
            <w:noWrap/>
          </w:tcPr>
          <w:p w14:paraId="27431B2B" w14:textId="77777777" w:rsidR="00767A78" w:rsidRPr="00862438" w:rsidRDefault="00767A78" w:rsidP="00887C4F">
            <w:pPr>
              <w:pStyle w:val="Ttext"/>
              <w:keepNext/>
            </w:pPr>
            <w:r w:rsidRPr="00862438">
              <w:t>EBIT</w:t>
            </w:r>
          </w:p>
        </w:tc>
        <w:tc>
          <w:tcPr>
            <w:tcW w:w="1134" w:type="dxa"/>
            <w:tcBorders>
              <w:top w:val="single" w:sz="2" w:space="0" w:color="000000"/>
              <w:left w:val="single" w:sz="24" w:space="0" w:color="FFFFFF"/>
              <w:bottom w:val="single" w:sz="2" w:space="0" w:color="000000"/>
              <w:right w:val="single" w:sz="24" w:space="0" w:color="FFFFFF"/>
            </w:tcBorders>
            <w:noWrap/>
          </w:tcPr>
          <w:p w14:paraId="54760FF8" w14:textId="77777777" w:rsidR="00767A78" w:rsidRPr="00862438" w:rsidRDefault="00767A78" w:rsidP="00887C4F">
            <w:pPr>
              <w:pStyle w:val="Tnumber"/>
              <w:keepNext/>
            </w:pPr>
            <w:r w:rsidRPr="00862438">
              <w:t>93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04F84A5" w14:textId="77777777" w:rsidR="00767A78" w:rsidRPr="00862438" w:rsidRDefault="00767A78" w:rsidP="00887C4F">
            <w:pPr>
              <w:pStyle w:val="Tnumber"/>
              <w:keepNext/>
            </w:pPr>
            <w:r w:rsidRPr="00862438">
              <w:t>432</w:t>
            </w:r>
          </w:p>
        </w:tc>
        <w:tc>
          <w:tcPr>
            <w:tcW w:w="1134" w:type="dxa"/>
            <w:tcBorders>
              <w:top w:val="single" w:sz="2" w:space="0" w:color="000000"/>
              <w:left w:val="single" w:sz="24" w:space="0" w:color="FFFFFF"/>
              <w:bottom w:val="single" w:sz="2" w:space="0" w:color="000000"/>
              <w:right w:val="single" w:sz="24" w:space="0" w:color="FFFFFF"/>
            </w:tcBorders>
            <w:noWrap/>
          </w:tcPr>
          <w:p w14:paraId="15A088D5" w14:textId="77777777" w:rsidR="00767A78" w:rsidRPr="00862438" w:rsidRDefault="00767A78" w:rsidP="00887C4F">
            <w:pPr>
              <w:pStyle w:val="Tnumber"/>
              <w:keepNext/>
            </w:pPr>
            <w:r w:rsidRPr="00862438">
              <w:t>&gt;300</w:t>
            </w:r>
          </w:p>
        </w:tc>
        <w:tc>
          <w:tcPr>
            <w:tcW w:w="1134" w:type="dxa"/>
            <w:tcBorders>
              <w:top w:val="single" w:sz="2" w:space="0" w:color="000000"/>
              <w:left w:val="single" w:sz="24" w:space="0" w:color="FFFFFF"/>
              <w:bottom w:val="single" w:sz="2" w:space="0" w:color="000000"/>
              <w:right w:val="single" w:sz="24" w:space="0" w:color="FFFFFF"/>
            </w:tcBorders>
            <w:noWrap/>
          </w:tcPr>
          <w:p w14:paraId="4AAE1384" w14:textId="77777777" w:rsidR="00767A78" w:rsidRPr="00862438" w:rsidRDefault="00767A78" w:rsidP="00887C4F">
            <w:pPr>
              <w:pStyle w:val="Tnumber"/>
              <w:keepNext/>
            </w:pPr>
            <w:r w:rsidRPr="00862438">
              <w:t>852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32F9B61" w14:textId="77777777" w:rsidR="00767A78" w:rsidRPr="00862438" w:rsidRDefault="00767A78" w:rsidP="00887C4F">
            <w:pPr>
              <w:pStyle w:val="Tnumber"/>
              <w:keepNext/>
            </w:pPr>
            <w:r w:rsidRPr="00862438">
              <w:t>696</w:t>
            </w:r>
          </w:p>
        </w:tc>
        <w:tc>
          <w:tcPr>
            <w:tcW w:w="1134" w:type="dxa"/>
            <w:tcBorders>
              <w:top w:val="single" w:sz="2" w:space="0" w:color="000000"/>
              <w:left w:val="single" w:sz="24" w:space="0" w:color="FFFFFF"/>
              <w:bottom w:val="single" w:sz="2" w:space="0" w:color="000000"/>
            </w:tcBorders>
            <w:noWrap/>
          </w:tcPr>
          <w:p w14:paraId="24688559" w14:textId="77777777" w:rsidR="00767A78" w:rsidRPr="00862438" w:rsidRDefault="00767A78" w:rsidP="00887C4F">
            <w:pPr>
              <w:pStyle w:val="Tnumber"/>
              <w:keepNext/>
            </w:pPr>
            <w:r w:rsidRPr="00862438">
              <w:t>–18.3</w:t>
            </w:r>
          </w:p>
        </w:tc>
      </w:tr>
      <w:tr w:rsidR="00767A78" w:rsidRPr="00862438" w14:paraId="294150A0" w14:textId="77777777" w:rsidTr="00767A78">
        <w:tc>
          <w:tcPr>
            <w:tcW w:w="3402" w:type="dxa"/>
            <w:tcBorders>
              <w:top w:val="single" w:sz="2" w:space="0" w:color="000000"/>
              <w:bottom w:val="single" w:sz="2" w:space="0" w:color="000000"/>
              <w:right w:val="single" w:sz="24" w:space="0" w:color="FFFFFF"/>
            </w:tcBorders>
          </w:tcPr>
          <w:p w14:paraId="4E3831DA" w14:textId="77777777" w:rsidR="00767A78" w:rsidRPr="00862438" w:rsidRDefault="00767A78" w:rsidP="00887C4F">
            <w:pPr>
              <w:pStyle w:val="Ttext"/>
              <w:keepNext/>
            </w:pPr>
            <w:r w:rsidRPr="00862438">
              <w:t>Net Income</w:t>
            </w:r>
          </w:p>
        </w:tc>
        <w:tc>
          <w:tcPr>
            <w:tcW w:w="1134" w:type="dxa"/>
            <w:tcBorders>
              <w:top w:val="single" w:sz="2" w:space="0" w:color="000000"/>
              <w:left w:val="single" w:sz="24" w:space="0" w:color="FFFFFF"/>
              <w:bottom w:val="single" w:sz="2" w:space="0" w:color="000000"/>
              <w:right w:val="single" w:sz="24" w:space="0" w:color="FFFFFF"/>
            </w:tcBorders>
            <w:noWrap/>
          </w:tcPr>
          <w:p w14:paraId="5CDD4CF0" w14:textId="77777777" w:rsidR="00767A78" w:rsidRPr="00862438" w:rsidRDefault="00767A78" w:rsidP="00887C4F">
            <w:pPr>
              <w:pStyle w:val="Tnumber"/>
              <w:keepNext/>
            </w:pPr>
            <w:r w:rsidRPr="00862438">
              <w:t>37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0DD7DBD" w14:textId="77777777" w:rsidR="00767A78" w:rsidRPr="00862438" w:rsidRDefault="00767A78" w:rsidP="00887C4F">
            <w:pPr>
              <w:pStyle w:val="Tnumber"/>
              <w:keepNext/>
            </w:pPr>
            <w:r w:rsidRPr="00862438">
              <w:t>312</w:t>
            </w:r>
          </w:p>
        </w:tc>
        <w:tc>
          <w:tcPr>
            <w:tcW w:w="1134" w:type="dxa"/>
            <w:tcBorders>
              <w:top w:val="single" w:sz="2" w:space="0" w:color="000000"/>
              <w:left w:val="single" w:sz="24" w:space="0" w:color="FFFFFF"/>
              <w:bottom w:val="single" w:sz="2" w:space="0" w:color="000000"/>
              <w:right w:val="single" w:sz="24" w:space="0" w:color="FFFFFF"/>
            </w:tcBorders>
            <w:noWrap/>
          </w:tcPr>
          <w:p w14:paraId="3C2D7A60" w14:textId="77777777" w:rsidR="00767A78" w:rsidRPr="00862438" w:rsidRDefault="00767A78" w:rsidP="00887C4F">
            <w:pPr>
              <w:pStyle w:val="Tnumber"/>
              <w:keepNext/>
            </w:pPr>
            <w:r w:rsidRPr="00862438">
              <w:t>&gt;700</w:t>
            </w:r>
          </w:p>
        </w:tc>
        <w:tc>
          <w:tcPr>
            <w:tcW w:w="1134" w:type="dxa"/>
            <w:tcBorders>
              <w:top w:val="single" w:sz="2" w:space="0" w:color="000000"/>
              <w:left w:val="single" w:sz="24" w:space="0" w:color="FFFFFF"/>
              <w:bottom w:val="single" w:sz="2" w:space="0" w:color="000000"/>
              <w:right w:val="single" w:sz="24" w:space="0" w:color="FFFFFF"/>
            </w:tcBorders>
            <w:noWrap/>
          </w:tcPr>
          <w:p w14:paraId="37BC8FFD" w14:textId="77777777" w:rsidR="00767A78" w:rsidRPr="00862438" w:rsidRDefault="00767A78" w:rsidP="00887C4F">
            <w:pPr>
              <w:pStyle w:val="Tnumber"/>
              <w:keepNext/>
            </w:pPr>
            <w:r w:rsidRPr="00862438">
              <w:t>552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7ECB1F4" w14:textId="77777777" w:rsidR="00767A78" w:rsidRPr="00862438" w:rsidRDefault="00767A78" w:rsidP="00887C4F">
            <w:pPr>
              <w:pStyle w:val="Tnumber"/>
              <w:keepNext/>
            </w:pPr>
            <w:r w:rsidRPr="00862438">
              <w:t>459</w:t>
            </w:r>
          </w:p>
        </w:tc>
        <w:tc>
          <w:tcPr>
            <w:tcW w:w="1134" w:type="dxa"/>
            <w:tcBorders>
              <w:top w:val="single" w:sz="2" w:space="0" w:color="000000"/>
              <w:left w:val="single" w:sz="24" w:space="0" w:color="FFFFFF"/>
              <w:bottom w:val="single" w:sz="2" w:space="0" w:color="000000"/>
            </w:tcBorders>
            <w:noWrap/>
          </w:tcPr>
          <w:p w14:paraId="2E73BDB3" w14:textId="77777777" w:rsidR="00767A78" w:rsidRPr="00862438" w:rsidRDefault="00767A78" w:rsidP="00887C4F">
            <w:pPr>
              <w:pStyle w:val="Tnumber"/>
              <w:keepNext/>
            </w:pPr>
            <w:r w:rsidRPr="00862438">
              <w:t>–16.8</w:t>
            </w:r>
          </w:p>
        </w:tc>
      </w:tr>
      <w:tr w:rsidR="00767A78" w:rsidRPr="00862438" w14:paraId="16A88F66" w14:textId="77777777" w:rsidTr="00767A78">
        <w:tc>
          <w:tcPr>
            <w:tcW w:w="3402" w:type="dxa"/>
            <w:tcBorders>
              <w:top w:val="single" w:sz="2" w:space="0" w:color="000000"/>
              <w:bottom w:val="single" w:sz="2" w:space="0" w:color="000000"/>
              <w:right w:val="single" w:sz="24" w:space="0" w:color="FFFFFF"/>
            </w:tcBorders>
          </w:tcPr>
          <w:p w14:paraId="49BEC05F" w14:textId="77777777" w:rsidR="00767A78" w:rsidRPr="00862438" w:rsidRDefault="00767A78" w:rsidP="00887C4F">
            <w:pPr>
              <w:pStyle w:val="Ttext"/>
              <w:keepNext/>
            </w:pPr>
            <w:r w:rsidRPr="0086243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35E6E9D5" w14:textId="77777777" w:rsidR="00767A78" w:rsidRPr="00862438" w:rsidRDefault="00767A78" w:rsidP="00887C4F">
            <w:pPr>
              <w:pStyle w:val="Tnumber"/>
              <w:keepNext/>
            </w:pPr>
            <w:r w:rsidRPr="00862438">
              <w:t>330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6A56ABD" w14:textId="77777777" w:rsidR="00767A78" w:rsidRPr="00862438" w:rsidRDefault="00767A78" w:rsidP="00887C4F">
            <w:pPr>
              <w:pStyle w:val="Tnumber"/>
              <w:keepNext/>
            </w:pPr>
            <w:r w:rsidRPr="00862438">
              <w:t>394</w:t>
            </w:r>
          </w:p>
        </w:tc>
        <w:tc>
          <w:tcPr>
            <w:tcW w:w="1134" w:type="dxa"/>
            <w:tcBorders>
              <w:top w:val="single" w:sz="2" w:space="0" w:color="000000"/>
              <w:left w:val="single" w:sz="24" w:space="0" w:color="FFFFFF"/>
              <w:bottom w:val="single" w:sz="2" w:space="0" w:color="000000"/>
              <w:right w:val="single" w:sz="24" w:space="0" w:color="FFFFFF"/>
            </w:tcBorders>
          </w:tcPr>
          <w:p w14:paraId="42FCD71C" w14:textId="77777777" w:rsidR="00767A78" w:rsidRPr="00862438" w:rsidRDefault="00767A78" w:rsidP="00887C4F">
            <w:pPr>
              <w:pStyle w:val="Tnumber"/>
              <w:keepNext/>
            </w:pPr>
            <w:r w:rsidRPr="00862438">
              <w:t>+19.4</w:t>
            </w:r>
          </w:p>
        </w:tc>
        <w:tc>
          <w:tcPr>
            <w:tcW w:w="1134" w:type="dxa"/>
            <w:tcBorders>
              <w:top w:val="single" w:sz="2" w:space="0" w:color="000000"/>
              <w:left w:val="single" w:sz="24" w:space="0" w:color="FFFFFF"/>
              <w:bottom w:val="single" w:sz="2" w:space="0" w:color="000000"/>
              <w:right w:val="single" w:sz="24" w:space="0" w:color="FFFFFF"/>
            </w:tcBorders>
            <w:noWrap/>
          </w:tcPr>
          <w:p w14:paraId="78D53026" w14:textId="77777777" w:rsidR="00767A78" w:rsidRPr="00862438" w:rsidRDefault="00767A78" w:rsidP="00887C4F">
            <w:pPr>
              <w:pStyle w:val="Tnumber"/>
              <w:keepNext/>
            </w:pPr>
            <w:r w:rsidRPr="00862438">
              <w:t>473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5A51FFC" w14:textId="77777777" w:rsidR="00767A78" w:rsidRPr="00862438" w:rsidRDefault="00767A78" w:rsidP="00887C4F">
            <w:pPr>
              <w:pStyle w:val="Tnumber"/>
              <w:keepNext/>
            </w:pPr>
            <w:r w:rsidRPr="00862438">
              <w:t>530</w:t>
            </w:r>
          </w:p>
        </w:tc>
        <w:tc>
          <w:tcPr>
            <w:tcW w:w="1134" w:type="dxa"/>
            <w:tcBorders>
              <w:top w:val="single" w:sz="2" w:space="0" w:color="000000"/>
              <w:left w:val="single" w:sz="24" w:space="0" w:color="FFFFFF"/>
              <w:bottom w:val="single" w:sz="2" w:space="0" w:color="000000"/>
            </w:tcBorders>
          </w:tcPr>
          <w:p w14:paraId="4AC8DBE4" w14:textId="77777777" w:rsidR="00767A78" w:rsidRPr="00862438" w:rsidRDefault="00767A78" w:rsidP="00887C4F">
            <w:pPr>
              <w:pStyle w:val="Tnumber"/>
              <w:keepNext/>
            </w:pPr>
            <w:r w:rsidRPr="00862438">
              <w:t>+12.1</w:t>
            </w:r>
          </w:p>
        </w:tc>
      </w:tr>
      <w:tr w:rsidR="00767A78" w:rsidRPr="00862438" w14:paraId="100460FA" w14:textId="77777777" w:rsidTr="00767A78">
        <w:tc>
          <w:tcPr>
            <w:tcW w:w="3402" w:type="dxa"/>
            <w:tcBorders>
              <w:top w:val="single" w:sz="2" w:space="0" w:color="000000"/>
              <w:bottom w:val="single" w:sz="2" w:space="0" w:color="000000"/>
              <w:right w:val="single" w:sz="24" w:space="0" w:color="FFFFFF"/>
            </w:tcBorders>
          </w:tcPr>
          <w:p w14:paraId="5B92002A" w14:textId="77777777" w:rsidR="00767A78" w:rsidRPr="00862438" w:rsidRDefault="00767A78" w:rsidP="00887C4F">
            <w:pPr>
              <w:pStyle w:val="TDummy"/>
              <w:keepNext/>
            </w:pPr>
            <w:bookmarkStart w:id="12" w:name="RANGE!L24:T24"/>
            <w:r w:rsidRPr="00862438">
              <w:t> </w:t>
            </w:r>
            <w:bookmarkEnd w:id="12"/>
          </w:p>
        </w:tc>
        <w:tc>
          <w:tcPr>
            <w:tcW w:w="1134" w:type="dxa"/>
            <w:tcBorders>
              <w:top w:val="single" w:sz="2" w:space="0" w:color="000000"/>
              <w:left w:val="single" w:sz="24" w:space="0" w:color="FFFFFF"/>
              <w:bottom w:val="single" w:sz="2" w:space="0" w:color="000000"/>
              <w:right w:val="single" w:sz="24" w:space="0" w:color="FFFFFF"/>
            </w:tcBorders>
            <w:noWrap/>
          </w:tcPr>
          <w:p w14:paraId="0B1D295F"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8C8DA61"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4C6EB645"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4E5358CC"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E825AE1"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tcBorders>
            <w:noWrap/>
          </w:tcPr>
          <w:p w14:paraId="19E5629A" w14:textId="77777777" w:rsidR="00767A78" w:rsidRPr="00862438" w:rsidRDefault="00767A78" w:rsidP="00887C4F">
            <w:pPr>
              <w:pStyle w:val="TDummy"/>
              <w:keepNext/>
            </w:pPr>
            <w:r w:rsidRPr="00862438">
              <w:t> </w:t>
            </w:r>
          </w:p>
        </w:tc>
      </w:tr>
      <w:tr w:rsidR="00767A78" w:rsidRPr="00862438" w14:paraId="135DC690" w14:textId="77777777" w:rsidTr="00767A78">
        <w:tc>
          <w:tcPr>
            <w:tcW w:w="3402" w:type="dxa"/>
            <w:tcBorders>
              <w:top w:val="single" w:sz="2" w:space="0" w:color="000000"/>
              <w:bottom w:val="single" w:sz="2" w:space="0" w:color="000000"/>
              <w:right w:val="single" w:sz="24" w:space="0" w:color="FFFFFF"/>
            </w:tcBorders>
            <w:shd w:val="clear" w:color="000000" w:fill="80CFF2"/>
          </w:tcPr>
          <w:p w14:paraId="1308FEAF" w14:textId="77777777" w:rsidR="00767A78" w:rsidRPr="00862438" w:rsidRDefault="00767A78" w:rsidP="00887C4F">
            <w:pPr>
              <w:pStyle w:val="Ttextbold"/>
              <w:keepNext/>
            </w:pPr>
            <w:bookmarkStart w:id="13" w:name="RANGE!L25:T25"/>
            <w:r w:rsidRPr="00862438">
              <w:t>Polyurethanes</w:t>
            </w:r>
            <w:bookmarkEnd w:id="13"/>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B1F4B53"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A99A17E"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2D53FA8"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9F7E48D"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607CADE"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tcBorders>
            <w:shd w:val="clear" w:color="000000" w:fill="80CFF2"/>
            <w:noWrap/>
          </w:tcPr>
          <w:p w14:paraId="43FE71BA" w14:textId="77777777" w:rsidR="00767A78" w:rsidRPr="00862438" w:rsidRDefault="00767A78" w:rsidP="00887C4F">
            <w:pPr>
              <w:pStyle w:val="Tnumberbold"/>
              <w:keepNext/>
            </w:pPr>
            <w:r w:rsidRPr="00862438">
              <w:t> </w:t>
            </w:r>
          </w:p>
        </w:tc>
      </w:tr>
      <w:tr w:rsidR="00767A78" w:rsidRPr="00862438" w14:paraId="20F44056" w14:textId="77777777" w:rsidTr="00767A78">
        <w:tc>
          <w:tcPr>
            <w:tcW w:w="3402" w:type="dxa"/>
            <w:tcBorders>
              <w:top w:val="single" w:sz="2" w:space="0" w:color="000000"/>
              <w:bottom w:val="single" w:sz="2" w:space="0" w:color="000000"/>
              <w:right w:val="single" w:sz="24" w:space="0" w:color="FFFFFF"/>
            </w:tcBorders>
            <w:noWrap/>
          </w:tcPr>
          <w:p w14:paraId="0F973B90" w14:textId="77777777" w:rsidR="00767A78" w:rsidRPr="00862438" w:rsidRDefault="00767A78" w:rsidP="00887C4F">
            <w:pPr>
              <w:pStyle w:val="Ttext"/>
              <w:keepNext/>
            </w:pPr>
            <w:r w:rsidRPr="00862438">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37D4AE19" w14:textId="77777777" w:rsidR="00767A78" w:rsidRPr="00862438" w:rsidRDefault="00767A78" w:rsidP="00887C4F">
            <w:pPr>
              <w:pStyle w:val="Tnumber"/>
              <w:keepNext/>
            </w:pPr>
            <w:r w:rsidRPr="00862438">
              <w:t>+3.6%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527C40E" w14:textId="77777777" w:rsidR="00767A78" w:rsidRPr="00862438" w:rsidRDefault="00767A78" w:rsidP="00887C4F">
            <w:pPr>
              <w:pStyle w:val="Tnumber"/>
              <w:keepNext/>
            </w:pPr>
            <w:r w:rsidRPr="00862438">
              <w:t>+0.8%</w:t>
            </w:r>
          </w:p>
        </w:tc>
        <w:tc>
          <w:tcPr>
            <w:tcW w:w="1134" w:type="dxa"/>
            <w:tcBorders>
              <w:top w:val="single" w:sz="2" w:space="0" w:color="000000"/>
              <w:left w:val="single" w:sz="24" w:space="0" w:color="FFFFFF"/>
              <w:bottom w:val="single" w:sz="2" w:space="0" w:color="000000"/>
              <w:right w:val="single" w:sz="24" w:space="0" w:color="FFFFFF"/>
            </w:tcBorders>
            <w:noWrap/>
          </w:tcPr>
          <w:p w14:paraId="11993829"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3E0C461A" w14:textId="77777777" w:rsidR="00767A78" w:rsidRPr="00862438" w:rsidRDefault="00767A78" w:rsidP="00887C4F">
            <w:pPr>
              <w:pStyle w:val="Tnumber"/>
              <w:keepNext/>
            </w:pPr>
            <w:r w:rsidRPr="00862438">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7EA18AD" w14:textId="77777777" w:rsidR="00767A78" w:rsidRPr="00862438" w:rsidRDefault="00767A78" w:rsidP="00887C4F">
            <w:pPr>
              <w:pStyle w:val="Tnumber"/>
              <w:keepNext/>
            </w:pPr>
            <w:r w:rsidRPr="00862438">
              <w:t>–6.1%</w:t>
            </w:r>
          </w:p>
        </w:tc>
        <w:tc>
          <w:tcPr>
            <w:tcW w:w="1134" w:type="dxa"/>
            <w:tcBorders>
              <w:top w:val="single" w:sz="2" w:space="0" w:color="000000"/>
              <w:left w:val="single" w:sz="24" w:space="0" w:color="FFFFFF"/>
              <w:bottom w:val="single" w:sz="2" w:space="0" w:color="000000"/>
            </w:tcBorders>
            <w:noWrap/>
          </w:tcPr>
          <w:p w14:paraId="6AC19EC1" w14:textId="77777777" w:rsidR="00767A78" w:rsidRPr="00862438" w:rsidRDefault="00767A78" w:rsidP="00887C4F">
            <w:pPr>
              <w:pStyle w:val="Tnumber"/>
              <w:keepNext/>
            </w:pPr>
            <w:r w:rsidRPr="00862438">
              <w:t> </w:t>
            </w:r>
          </w:p>
        </w:tc>
      </w:tr>
      <w:tr w:rsidR="00767A78" w:rsidRPr="00862438" w14:paraId="633B51C1" w14:textId="77777777" w:rsidTr="00767A78">
        <w:tc>
          <w:tcPr>
            <w:tcW w:w="3402" w:type="dxa"/>
            <w:tcBorders>
              <w:top w:val="single" w:sz="2" w:space="0" w:color="000000"/>
              <w:bottom w:val="single" w:sz="2" w:space="0" w:color="000000"/>
              <w:right w:val="single" w:sz="24" w:space="0" w:color="FFFFFF"/>
            </w:tcBorders>
            <w:noWrap/>
          </w:tcPr>
          <w:p w14:paraId="5554DE23" w14:textId="77777777" w:rsidR="00767A78" w:rsidRPr="00862438" w:rsidRDefault="00767A78" w:rsidP="00887C4F">
            <w:pPr>
              <w:pStyle w:val="Ttext"/>
              <w:keepNext/>
            </w:pPr>
            <w:r w:rsidRPr="00862438">
              <w:t>Sales</w:t>
            </w:r>
          </w:p>
        </w:tc>
        <w:tc>
          <w:tcPr>
            <w:tcW w:w="1134" w:type="dxa"/>
            <w:tcBorders>
              <w:top w:val="single" w:sz="2" w:space="0" w:color="000000"/>
              <w:left w:val="single" w:sz="24" w:space="0" w:color="FFFFFF"/>
              <w:bottom w:val="single" w:sz="2" w:space="0" w:color="000000"/>
              <w:right w:val="single" w:sz="24" w:space="0" w:color="FFFFFF"/>
            </w:tcBorders>
            <w:noWrap/>
          </w:tcPr>
          <w:p w14:paraId="33DAB5B7" w14:textId="77777777" w:rsidR="00767A78" w:rsidRPr="00862438" w:rsidRDefault="00767A78" w:rsidP="00887C4F">
            <w:pPr>
              <w:pStyle w:val="Tnumber"/>
              <w:keepNext/>
            </w:pPr>
            <w:r w:rsidRPr="00862438">
              <w:t>1,336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879EE84" w14:textId="77777777" w:rsidR="00767A78" w:rsidRPr="00862438" w:rsidRDefault="00767A78" w:rsidP="00887C4F">
            <w:pPr>
              <w:pStyle w:val="Tnumber"/>
              <w:keepNext/>
            </w:pPr>
            <w:r w:rsidRPr="00862438">
              <w:t>1,519</w:t>
            </w:r>
          </w:p>
        </w:tc>
        <w:tc>
          <w:tcPr>
            <w:tcW w:w="1134" w:type="dxa"/>
            <w:tcBorders>
              <w:top w:val="single" w:sz="2" w:space="0" w:color="000000"/>
              <w:left w:val="single" w:sz="24" w:space="0" w:color="FFFFFF"/>
              <w:bottom w:val="single" w:sz="2" w:space="0" w:color="000000"/>
              <w:right w:val="single" w:sz="24" w:space="0" w:color="FFFFFF"/>
            </w:tcBorders>
            <w:noWrap/>
          </w:tcPr>
          <w:p w14:paraId="28C03145" w14:textId="77777777" w:rsidR="00767A78" w:rsidRPr="00862438" w:rsidRDefault="00767A78" w:rsidP="00887C4F">
            <w:pPr>
              <w:pStyle w:val="Tnumber"/>
              <w:keepNext/>
            </w:pPr>
            <w:r w:rsidRPr="00862438">
              <w:t>+13.7</w:t>
            </w:r>
          </w:p>
        </w:tc>
        <w:tc>
          <w:tcPr>
            <w:tcW w:w="1134" w:type="dxa"/>
            <w:tcBorders>
              <w:top w:val="single" w:sz="2" w:space="0" w:color="000000"/>
              <w:left w:val="single" w:sz="24" w:space="0" w:color="FFFFFF"/>
              <w:bottom w:val="single" w:sz="2" w:space="0" w:color="000000"/>
              <w:right w:val="single" w:sz="24" w:space="0" w:color="FFFFFF"/>
            </w:tcBorders>
            <w:noWrap/>
          </w:tcPr>
          <w:p w14:paraId="702EEC72" w14:textId="77777777" w:rsidR="00767A78" w:rsidRPr="00862438" w:rsidRDefault="00767A78" w:rsidP="00887C4F">
            <w:pPr>
              <w:pStyle w:val="Tnumber"/>
              <w:keepNext/>
            </w:pPr>
            <w:r w:rsidRPr="00862438">
              <w:t>5,779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331BD16" w14:textId="77777777" w:rsidR="00767A78" w:rsidRPr="00862438" w:rsidRDefault="00767A78" w:rsidP="00887C4F">
            <w:pPr>
              <w:pStyle w:val="Tnumber"/>
              <w:keepNext/>
            </w:pPr>
            <w:r w:rsidRPr="00862438">
              <w:t>5,021</w:t>
            </w:r>
          </w:p>
        </w:tc>
        <w:tc>
          <w:tcPr>
            <w:tcW w:w="1134" w:type="dxa"/>
            <w:tcBorders>
              <w:top w:val="single" w:sz="2" w:space="0" w:color="000000"/>
              <w:left w:val="single" w:sz="24" w:space="0" w:color="FFFFFF"/>
              <w:bottom w:val="single" w:sz="2" w:space="0" w:color="000000"/>
            </w:tcBorders>
            <w:noWrap/>
          </w:tcPr>
          <w:p w14:paraId="362FCF95" w14:textId="77777777" w:rsidR="00767A78" w:rsidRPr="00862438" w:rsidRDefault="00767A78" w:rsidP="00887C4F">
            <w:pPr>
              <w:pStyle w:val="Tnumber"/>
              <w:keepNext/>
            </w:pPr>
            <w:r w:rsidRPr="00862438">
              <w:t>–13.1</w:t>
            </w:r>
          </w:p>
        </w:tc>
      </w:tr>
      <w:tr w:rsidR="00767A78" w:rsidRPr="00862438" w14:paraId="6D8E4D3F" w14:textId="77777777" w:rsidTr="00767A78">
        <w:tc>
          <w:tcPr>
            <w:tcW w:w="3402" w:type="dxa"/>
            <w:tcBorders>
              <w:top w:val="single" w:sz="2" w:space="0" w:color="000000"/>
              <w:bottom w:val="single" w:sz="2" w:space="0" w:color="000000"/>
              <w:right w:val="single" w:sz="24" w:space="0" w:color="FFFFFF"/>
            </w:tcBorders>
            <w:noWrap/>
          </w:tcPr>
          <w:p w14:paraId="75BC5604" w14:textId="77777777" w:rsidR="00767A78" w:rsidRPr="00862438" w:rsidRDefault="00767A78" w:rsidP="00887C4F">
            <w:pPr>
              <w:pStyle w:val="Ttext"/>
              <w:keepNext/>
            </w:pPr>
            <w:r w:rsidRPr="00862438">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553CCFC9"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8FC476F"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14D3901"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A90A060"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9654185"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tcBorders>
            <w:noWrap/>
          </w:tcPr>
          <w:p w14:paraId="0C8F391A" w14:textId="77777777" w:rsidR="00767A78" w:rsidRPr="00862438" w:rsidRDefault="00767A78" w:rsidP="00887C4F">
            <w:pPr>
              <w:pStyle w:val="Tnumber"/>
              <w:keepNext/>
            </w:pPr>
            <w:r w:rsidRPr="00862438">
              <w:t> </w:t>
            </w:r>
          </w:p>
        </w:tc>
      </w:tr>
      <w:tr w:rsidR="00767A78" w:rsidRPr="00862438" w14:paraId="312591D2" w14:textId="77777777" w:rsidTr="00767A78">
        <w:tc>
          <w:tcPr>
            <w:tcW w:w="3402" w:type="dxa"/>
            <w:tcBorders>
              <w:top w:val="single" w:sz="2" w:space="0" w:color="000000"/>
              <w:bottom w:val="single" w:sz="2" w:space="0" w:color="000000"/>
              <w:right w:val="single" w:sz="24" w:space="0" w:color="FFFFFF"/>
            </w:tcBorders>
            <w:noWrap/>
          </w:tcPr>
          <w:p w14:paraId="07364993" w14:textId="77777777" w:rsidR="00767A78" w:rsidRPr="00862438" w:rsidRDefault="00767A78" w:rsidP="00887C4F">
            <w:pPr>
              <w:pStyle w:val="Ttextindent1"/>
              <w:keepNext/>
            </w:pPr>
            <w:bookmarkStart w:id="14" w:name="RANGE!L29:L32"/>
            <w:r w:rsidRPr="00862438">
              <w:t>Volume</w:t>
            </w:r>
            <w:bookmarkEnd w:id="14"/>
          </w:p>
        </w:tc>
        <w:tc>
          <w:tcPr>
            <w:tcW w:w="1134" w:type="dxa"/>
            <w:tcBorders>
              <w:top w:val="single" w:sz="2" w:space="0" w:color="000000"/>
              <w:left w:val="single" w:sz="24" w:space="0" w:color="FFFFFF"/>
              <w:bottom w:val="single" w:sz="2" w:space="0" w:color="000000"/>
              <w:right w:val="single" w:sz="24" w:space="0" w:color="FFFFFF"/>
            </w:tcBorders>
            <w:noWrap/>
          </w:tcPr>
          <w:p w14:paraId="48B13E3B" w14:textId="77777777" w:rsidR="00767A78" w:rsidRPr="00862438" w:rsidRDefault="00767A78" w:rsidP="00887C4F">
            <w:pPr>
              <w:pStyle w:val="Tnumber"/>
              <w:keepNext/>
            </w:pPr>
            <w:r w:rsidRPr="00862438">
              <w:t>–0.2%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2AD2F41" w14:textId="77777777" w:rsidR="00767A78" w:rsidRPr="00862438" w:rsidRDefault="00767A78" w:rsidP="00887C4F">
            <w:pPr>
              <w:pStyle w:val="Tnumber"/>
              <w:keepNext/>
            </w:pPr>
            <w:r w:rsidRPr="00862438">
              <w:t>+2.9%</w:t>
            </w:r>
          </w:p>
        </w:tc>
        <w:tc>
          <w:tcPr>
            <w:tcW w:w="1134" w:type="dxa"/>
            <w:tcBorders>
              <w:top w:val="single" w:sz="2" w:space="0" w:color="000000"/>
              <w:left w:val="single" w:sz="24" w:space="0" w:color="FFFFFF"/>
              <w:bottom w:val="single" w:sz="2" w:space="0" w:color="000000"/>
              <w:right w:val="single" w:sz="24" w:space="0" w:color="FFFFFF"/>
            </w:tcBorders>
            <w:noWrap/>
          </w:tcPr>
          <w:p w14:paraId="58FAB7F0"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56F5E89" w14:textId="77777777" w:rsidR="00767A78" w:rsidRPr="00862438" w:rsidRDefault="00767A78" w:rsidP="00887C4F">
            <w:pPr>
              <w:pStyle w:val="Tnumber"/>
              <w:keepNext/>
            </w:pPr>
            <w:r w:rsidRPr="00862438">
              <w:t>+1.5%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C8A7A46" w14:textId="77777777" w:rsidR="00767A78" w:rsidRPr="00862438" w:rsidRDefault="00767A78" w:rsidP="00887C4F">
            <w:pPr>
              <w:pStyle w:val="Tnumber"/>
              <w:keepNext/>
            </w:pPr>
            <w:r w:rsidRPr="00862438">
              <w:t>–5.0%</w:t>
            </w:r>
          </w:p>
        </w:tc>
        <w:tc>
          <w:tcPr>
            <w:tcW w:w="1134" w:type="dxa"/>
            <w:tcBorders>
              <w:top w:val="single" w:sz="2" w:space="0" w:color="000000"/>
              <w:left w:val="single" w:sz="24" w:space="0" w:color="FFFFFF"/>
              <w:bottom w:val="single" w:sz="2" w:space="0" w:color="000000"/>
            </w:tcBorders>
            <w:noWrap/>
          </w:tcPr>
          <w:p w14:paraId="2781945E" w14:textId="77777777" w:rsidR="00767A78" w:rsidRPr="00862438" w:rsidRDefault="00767A78" w:rsidP="00887C4F">
            <w:pPr>
              <w:pStyle w:val="Tnumber"/>
              <w:keepNext/>
            </w:pPr>
            <w:r w:rsidRPr="00862438">
              <w:t> </w:t>
            </w:r>
          </w:p>
        </w:tc>
      </w:tr>
      <w:tr w:rsidR="00767A78" w:rsidRPr="00862438" w14:paraId="771A1ABA" w14:textId="77777777" w:rsidTr="00767A78">
        <w:tc>
          <w:tcPr>
            <w:tcW w:w="3402" w:type="dxa"/>
            <w:tcBorders>
              <w:top w:val="single" w:sz="2" w:space="0" w:color="000000"/>
              <w:bottom w:val="single" w:sz="2" w:space="0" w:color="000000"/>
              <w:right w:val="single" w:sz="24" w:space="0" w:color="FFFFFF"/>
            </w:tcBorders>
            <w:noWrap/>
          </w:tcPr>
          <w:p w14:paraId="0957FD8F" w14:textId="77777777" w:rsidR="00767A78" w:rsidRPr="00862438" w:rsidRDefault="00767A78" w:rsidP="00887C4F">
            <w:pPr>
              <w:pStyle w:val="Ttextindent1"/>
              <w:keepNext/>
            </w:pPr>
            <w:r w:rsidRPr="00862438">
              <w:t>Price</w:t>
            </w:r>
          </w:p>
        </w:tc>
        <w:tc>
          <w:tcPr>
            <w:tcW w:w="1134" w:type="dxa"/>
            <w:tcBorders>
              <w:top w:val="single" w:sz="2" w:space="0" w:color="000000"/>
              <w:left w:val="single" w:sz="24" w:space="0" w:color="FFFFFF"/>
              <w:bottom w:val="single" w:sz="2" w:space="0" w:color="000000"/>
              <w:right w:val="single" w:sz="24" w:space="0" w:color="FFFFFF"/>
            </w:tcBorders>
            <w:noWrap/>
          </w:tcPr>
          <w:p w14:paraId="0FA70961" w14:textId="77777777" w:rsidR="00767A78" w:rsidRPr="00862438" w:rsidRDefault="00767A78" w:rsidP="00887C4F">
            <w:pPr>
              <w:pStyle w:val="Tnumber"/>
              <w:keepNext/>
            </w:pPr>
            <w:r w:rsidRPr="00862438">
              <w:t>–16.9%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61F8B15" w14:textId="77777777" w:rsidR="00767A78" w:rsidRPr="00862438" w:rsidRDefault="00767A78" w:rsidP="00887C4F">
            <w:pPr>
              <w:pStyle w:val="Tnumber"/>
              <w:keepNext/>
            </w:pPr>
            <w:r w:rsidRPr="00862438">
              <w:t>+16.2%</w:t>
            </w:r>
          </w:p>
        </w:tc>
        <w:tc>
          <w:tcPr>
            <w:tcW w:w="1134" w:type="dxa"/>
            <w:tcBorders>
              <w:top w:val="single" w:sz="2" w:space="0" w:color="000000"/>
              <w:left w:val="single" w:sz="24" w:space="0" w:color="FFFFFF"/>
              <w:bottom w:val="single" w:sz="2" w:space="0" w:color="000000"/>
              <w:right w:val="single" w:sz="24" w:space="0" w:color="FFFFFF"/>
            </w:tcBorders>
            <w:noWrap/>
          </w:tcPr>
          <w:p w14:paraId="53276AFC"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A4034E4" w14:textId="77777777" w:rsidR="00767A78" w:rsidRPr="00862438" w:rsidRDefault="00767A78" w:rsidP="00887C4F">
            <w:pPr>
              <w:pStyle w:val="Tnumber"/>
              <w:keepNext/>
            </w:pPr>
            <w:r w:rsidRPr="00862438">
              <w:t>–24.7%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C39E584" w14:textId="77777777" w:rsidR="00767A78" w:rsidRPr="00862438" w:rsidRDefault="00767A78" w:rsidP="00887C4F">
            <w:pPr>
              <w:pStyle w:val="Tnumber"/>
              <w:keepNext/>
            </w:pPr>
            <w:r w:rsidRPr="00862438">
              <w:t>–5.1%</w:t>
            </w:r>
          </w:p>
        </w:tc>
        <w:tc>
          <w:tcPr>
            <w:tcW w:w="1134" w:type="dxa"/>
            <w:tcBorders>
              <w:top w:val="single" w:sz="2" w:space="0" w:color="000000"/>
              <w:left w:val="single" w:sz="24" w:space="0" w:color="FFFFFF"/>
              <w:bottom w:val="single" w:sz="2" w:space="0" w:color="000000"/>
            </w:tcBorders>
            <w:noWrap/>
          </w:tcPr>
          <w:p w14:paraId="5426FF39" w14:textId="77777777" w:rsidR="00767A78" w:rsidRPr="00862438" w:rsidRDefault="00767A78" w:rsidP="00887C4F">
            <w:pPr>
              <w:pStyle w:val="Tnumber"/>
              <w:keepNext/>
            </w:pPr>
            <w:r w:rsidRPr="00862438">
              <w:t> </w:t>
            </w:r>
          </w:p>
        </w:tc>
      </w:tr>
      <w:tr w:rsidR="00767A78" w:rsidRPr="00862438" w14:paraId="3282F006" w14:textId="77777777" w:rsidTr="00767A78">
        <w:tc>
          <w:tcPr>
            <w:tcW w:w="3402" w:type="dxa"/>
            <w:tcBorders>
              <w:top w:val="single" w:sz="2" w:space="0" w:color="000000"/>
              <w:bottom w:val="single" w:sz="2" w:space="0" w:color="000000"/>
              <w:right w:val="single" w:sz="24" w:space="0" w:color="FFFFFF"/>
            </w:tcBorders>
            <w:noWrap/>
          </w:tcPr>
          <w:p w14:paraId="3F80366D" w14:textId="77777777" w:rsidR="00767A78" w:rsidRPr="00862438" w:rsidRDefault="00767A78" w:rsidP="00887C4F">
            <w:pPr>
              <w:pStyle w:val="Ttextindent1"/>
              <w:keepNext/>
            </w:pPr>
            <w:r w:rsidRPr="00862438">
              <w:t>Currency</w:t>
            </w:r>
          </w:p>
        </w:tc>
        <w:tc>
          <w:tcPr>
            <w:tcW w:w="1134" w:type="dxa"/>
            <w:tcBorders>
              <w:top w:val="single" w:sz="2" w:space="0" w:color="000000"/>
              <w:left w:val="single" w:sz="24" w:space="0" w:color="FFFFFF"/>
              <w:bottom w:val="single" w:sz="2" w:space="0" w:color="000000"/>
              <w:right w:val="single" w:sz="24" w:space="0" w:color="FFFFFF"/>
            </w:tcBorders>
            <w:noWrap/>
          </w:tcPr>
          <w:p w14:paraId="34B4B9F5" w14:textId="77777777" w:rsidR="00767A78" w:rsidRPr="00862438" w:rsidRDefault="00767A78" w:rsidP="00887C4F">
            <w:pPr>
              <w:pStyle w:val="Tnumber"/>
              <w:keepNext/>
            </w:pPr>
            <w:r w:rsidRPr="00862438">
              <w:t>+1.5%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44EB4FD" w14:textId="77777777" w:rsidR="00767A78" w:rsidRPr="00862438" w:rsidRDefault="00767A78" w:rsidP="00887C4F">
            <w:pPr>
              <w:pStyle w:val="Tnumber"/>
              <w:keepNext/>
            </w:pPr>
            <w:r w:rsidRPr="00862438">
              <w:t>–4.8%</w:t>
            </w:r>
          </w:p>
        </w:tc>
        <w:tc>
          <w:tcPr>
            <w:tcW w:w="1134" w:type="dxa"/>
            <w:tcBorders>
              <w:top w:val="single" w:sz="2" w:space="0" w:color="000000"/>
              <w:left w:val="single" w:sz="24" w:space="0" w:color="FFFFFF"/>
              <w:bottom w:val="single" w:sz="2" w:space="0" w:color="000000"/>
              <w:right w:val="single" w:sz="24" w:space="0" w:color="FFFFFF"/>
            </w:tcBorders>
            <w:noWrap/>
          </w:tcPr>
          <w:p w14:paraId="2A81FE3E"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58034A11" w14:textId="77777777" w:rsidR="00767A78" w:rsidRPr="00862438" w:rsidRDefault="00767A78" w:rsidP="00887C4F">
            <w:pPr>
              <w:pStyle w:val="Tnumber"/>
              <w:keepNext/>
            </w:pPr>
            <w:r w:rsidRPr="00862438">
              <w:t>+1.8%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13D5B33" w14:textId="77777777" w:rsidR="00767A78" w:rsidRPr="00862438" w:rsidRDefault="00767A78" w:rsidP="00887C4F">
            <w:pPr>
              <w:pStyle w:val="Tnumber"/>
              <w:keepNext/>
            </w:pPr>
            <w:r w:rsidRPr="00862438">
              <w:t>–2.0%</w:t>
            </w:r>
          </w:p>
        </w:tc>
        <w:tc>
          <w:tcPr>
            <w:tcW w:w="1134" w:type="dxa"/>
            <w:tcBorders>
              <w:top w:val="single" w:sz="2" w:space="0" w:color="000000"/>
              <w:left w:val="single" w:sz="24" w:space="0" w:color="FFFFFF"/>
              <w:bottom w:val="single" w:sz="2" w:space="0" w:color="000000"/>
            </w:tcBorders>
            <w:noWrap/>
          </w:tcPr>
          <w:p w14:paraId="79E07204" w14:textId="77777777" w:rsidR="00767A78" w:rsidRPr="00862438" w:rsidRDefault="00767A78" w:rsidP="00887C4F">
            <w:pPr>
              <w:pStyle w:val="Tnumber"/>
              <w:keepNext/>
            </w:pPr>
            <w:r w:rsidRPr="00862438">
              <w:t> </w:t>
            </w:r>
          </w:p>
        </w:tc>
      </w:tr>
      <w:tr w:rsidR="00767A78" w:rsidRPr="00862438" w14:paraId="36EA4EF9" w14:textId="77777777" w:rsidTr="00767A78">
        <w:tc>
          <w:tcPr>
            <w:tcW w:w="3402" w:type="dxa"/>
            <w:tcBorders>
              <w:top w:val="single" w:sz="2" w:space="0" w:color="000000"/>
              <w:bottom w:val="single" w:sz="2" w:space="0" w:color="000000"/>
              <w:right w:val="single" w:sz="24" w:space="0" w:color="FFFFFF"/>
            </w:tcBorders>
            <w:noWrap/>
          </w:tcPr>
          <w:p w14:paraId="643EF7A9" w14:textId="77777777" w:rsidR="00767A78" w:rsidRPr="00862438" w:rsidRDefault="00767A78" w:rsidP="00887C4F">
            <w:pPr>
              <w:pStyle w:val="Ttextindent1"/>
              <w:keepNext/>
            </w:pPr>
            <w:r w:rsidRPr="00862438">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5EAFF44C" w14:textId="77777777" w:rsidR="00767A78" w:rsidRPr="00862438" w:rsidRDefault="00767A78" w:rsidP="00887C4F">
            <w:pPr>
              <w:pStyle w:val="Tnumber"/>
              <w:keepNext/>
            </w:pPr>
            <w:r w:rsidRPr="00862438">
              <w:t>–0.7%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F3BE2A6" w14:textId="77777777" w:rsidR="00767A78" w:rsidRPr="00862438" w:rsidRDefault="00767A78" w:rsidP="00887C4F">
            <w:pPr>
              <w:pStyle w:val="Tnumber"/>
              <w:keepNext/>
            </w:pPr>
            <w:r w:rsidRPr="00862438">
              <w:t>–0.6%</w:t>
            </w:r>
          </w:p>
        </w:tc>
        <w:tc>
          <w:tcPr>
            <w:tcW w:w="1134" w:type="dxa"/>
            <w:tcBorders>
              <w:top w:val="single" w:sz="2" w:space="0" w:color="000000"/>
              <w:left w:val="single" w:sz="24" w:space="0" w:color="FFFFFF"/>
              <w:bottom w:val="single" w:sz="2" w:space="0" w:color="000000"/>
              <w:right w:val="single" w:sz="24" w:space="0" w:color="FFFFFF"/>
            </w:tcBorders>
            <w:noWrap/>
          </w:tcPr>
          <w:p w14:paraId="5772C861"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697E156A" w14:textId="77777777" w:rsidR="00767A78" w:rsidRPr="00862438" w:rsidRDefault="00767A78" w:rsidP="00887C4F">
            <w:pPr>
              <w:pStyle w:val="Tnumber"/>
              <w:keepNext/>
            </w:pPr>
            <w:r w:rsidRPr="00862438">
              <w:t>–0.1%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5087E18" w14:textId="77777777" w:rsidR="00767A78" w:rsidRPr="00862438" w:rsidRDefault="00767A78" w:rsidP="00887C4F">
            <w:pPr>
              <w:pStyle w:val="Tnumber"/>
              <w:keepNext/>
            </w:pPr>
            <w:r w:rsidRPr="00862438">
              <w:t>–1.0%</w:t>
            </w:r>
          </w:p>
        </w:tc>
        <w:tc>
          <w:tcPr>
            <w:tcW w:w="1134" w:type="dxa"/>
            <w:tcBorders>
              <w:top w:val="single" w:sz="2" w:space="0" w:color="000000"/>
              <w:left w:val="single" w:sz="24" w:space="0" w:color="FFFFFF"/>
              <w:bottom w:val="single" w:sz="2" w:space="0" w:color="000000"/>
            </w:tcBorders>
            <w:noWrap/>
          </w:tcPr>
          <w:p w14:paraId="51DA187D" w14:textId="77777777" w:rsidR="00767A78" w:rsidRPr="00862438" w:rsidRDefault="00767A78" w:rsidP="00887C4F">
            <w:pPr>
              <w:pStyle w:val="Tnumber"/>
              <w:keepNext/>
            </w:pPr>
            <w:r w:rsidRPr="00862438">
              <w:t> </w:t>
            </w:r>
          </w:p>
        </w:tc>
      </w:tr>
      <w:tr w:rsidR="00767A78" w:rsidRPr="00862438" w14:paraId="7AC49F6D" w14:textId="77777777" w:rsidTr="00767A78">
        <w:tc>
          <w:tcPr>
            <w:tcW w:w="3402" w:type="dxa"/>
            <w:tcBorders>
              <w:top w:val="single" w:sz="2" w:space="0" w:color="000000"/>
              <w:bottom w:val="single" w:sz="2" w:space="0" w:color="000000"/>
              <w:right w:val="single" w:sz="24" w:space="0" w:color="FFFFFF"/>
            </w:tcBorders>
            <w:noWrap/>
          </w:tcPr>
          <w:p w14:paraId="55E47EF2" w14:textId="77777777" w:rsidR="00767A78" w:rsidRPr="00862438" w:rsidRDefault="00767A78" w:rsidP="00887C4F">
            <w:pPr>
              <w:pStyle w:val="Ttext"/>
              <w:keepNext/>
            </w:pPr>
            <w:r w:rsidRPr="00862438">
              <w:t>EBITDA</w:t>
            </w:r>
          </w:p>
        </w:tc>
        <w:tc>
          <w:tcPr>
            <w:tcW w:w="1134" w:type="dxa"/>
            <w:tcBorders>
              <w:top w:val="single" w:sz="2" w:space="0" w:color="000000"/>
              <w:left w:val="single" w:sz="24" w:space="0" w:color="FFFFFF"/>
              <w:bottom w:val="single" w:sz="2" w:space="0" w:color="000000"/>
              <w:right w:val="single" w:sz="24" w:space="0" w:color="FFFFFF"/>
            </w:tcBorders>
            <w:noWrap/>
          </w:tcPr>
          <w:p w14:paraId="39E6F79C" w14:textId="77777777" w:rsidR="00767A78" w:rsidRPr="00862438" w:rsidRDefault="00767A78" w:rsidP="00887C4F">
            <w:pPr>
              <w:pStyle w:val="Tnumber"/>
              <w:keepNext/>
            </w:pPr>
            <w:r w:rsidRPr="00862438">
              <w:t>123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CB5F283" w14:textId="77777777" w:rsidR="00767A78" w:rsidRPr="00862438" w:rsidRDefault="00767A78" w:rsidP="00887C4F">
            <w:pPr>
              <w:pStyle w:val="Tnumber"/>
              <w:keepNext/>
            </w:pPr>
            <w:r w:rsidRPr="00862438">
              <w:t>379</w:t>
            </w:r>
          </w:p>
        </w:tc>
        <w:tc>
          <w:tcPr>
            <w:tcW w:w="1134" w:type="dxa"/>
            <w:tcBorders>
              <w:top w:val="single" w:sz="2" w:space="0" w:color="000000"/>
              <w:left w:val="single" w:sz="24" w:space="0" w:color="FFFFFF"/>
              <w:bottom w:val="single" w:sz="2" w:space="0" w:color="000000"/>
              <w:right w:val="single" w:sz="24" w:space="0" w:color="FFFFFF"/>
            </w:tcBorders>
            <w:noWrap/>
          </w:tcPr>
          <w:p w14:paraId="1B257970" w14:textId="77777777" w:rsidR="00767A78" w:rsidRPr="00862438" w:rsidRDefault="00767A78" w:rsidP="00887C4F">
            <w:pPr>
              <w:pStyle w:val="Tnumber"/>
              <w:keepNext/>
            </w:pPr>
            <w:r w:rsidRPr="00862438">
              <w:t>&gt;200</w:t>
            </w:r>
          </w:p>
        </w:tc>
        <w:tc>
          <w:tcPr>
            <w:tcW w:w="1134" w:type="dxa"/>
            <w:tcBorders>
              <w:top w:val="single" w:sz="2" w:space="0" w:color="000000"/>
              <w:left w:val="single" w:sz="24" w:space="0" w:color="FFFFFF"/>
              <w:bottom w:val="single" w:sz="2" w:space="0" w:color="000000"/>
              <w:right w:val="single" w:sz="24" w:space="0" w:color="FFFFFF"/>
            </w:tcBorders>
            <w:noWrap/>
          </w:tcPr>
          <w:p w14:paraId="07B07C42" w14:textId="77777777" w:rsidR="00767A78" w:rsidRPr="00862438" w:rsidRDefault="00767A78" w:rsidP="00887C4F">
            <w:pPr>
              <w:pStyle w:val="Tnumber"/>
              <w:keepNext/>
            </w:pPr>
            <w:r w:rsidRPr="00862438">
              <w:t>648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89B96CB" w14:textId="77777777" w:rsidR="00767A78" w:rsidRPr="00862438" w:rsidRDefault="00767A78" w:rsidP="00887C4F">
            <w:pPr>
              <w:pStyle w:val="Tnumber"/>
              <w:keepNext/>
            </w:pPr>
            <w:r w:rsidRPr="00862438">
              <w:t>625</w:t>
            </w:r>
          </w:p>
        </w:tc>
        <w:tc>
          <w:tcPr>
            <w:tcW w:w="1134" w:type="dxa"/>
            <w:tcBorders>
              <w:top w:val="single" w:sz="2" w:space="0" w:color="000000"/>
              <w:left w:val="single" w:sz="24" w:space="0" w:color="FFFFFF"/>
              <w:bottom w:val="single" w:sz="2" w:space="0" w:color="000000"/>
            </w:tcBorders>
            <w:noWrap/>
          </w:tcPr>
          <w:p w14:paraId="23F4A0AC" w14:textId="77777777" w:rsidR="00767A78" w:rsidRPr="00862438" w:rsidRDefault="00767A78" w:rsidP="00887C4F">
            <w:pPr>
              <w:pStyle w:val="Tnumber"/>
              <w:keepNext/>
            </w:pPr>
            <w:r w:rsidRPr="00862438">
              <w:t>–3.5</w:t>
            </w:r>
          </w:p>
        </w:tc>
      </w:tr>
      <w:tr w:rsidR="00767A78" w:rsidRPr="00862438" w14:paraId="50F11E45" w14:textId="77777777" w:rsidTr="00767A78">
        <w:tc>
          <w:tcPr>
            <w:tcW w:w="3402" w:type="dxa"/>
            <w:tcBorders>
              <w:top w:val="single" w:sz="2" w:space="0" w:color="000000"/>
              <w:bottom w:val="single" w:sz="2" w:space="0" w:color="000000"/>
              <w:right w:val="single" w:sz="24" w:space="0" w:color="FFFFFF"/>
            </w:tcBorders>
            <w:noWrap/>
          </w:tcPr>
          <w:p w14:paraId="64251A99" w14:textId="77777777" w:rsidR="00767A78" w:rsidRPr="00862438" w:rsidRDefault="00767A78" w:rsidP="00887C4F">
            <w:pPr>
              <w:pStyle w:val="Ttext"/>
              <w:keepNext/>
            </w:pPr>
            <w:r w:rsidRPr="00862438">
              <w:t>EBIT</w:t>
            </w:r>
          </w:p>
        </w:tc>
        <w:tc>
          <w:tcPr>
            <w:tcW w:w="1134" w:type="dxa"/>
            <w:tcBorders>
              <w:top w:val="single" w:sz="2" w:space="0" w:color="000000"/>
              <w:left w:val="single" w:sz="24" w:space="0" w:color="FFFFFF"/>
              <w:bottom w:val="single" w:sz="2" w:space="0" w:color="000000"/>
              <w:right w:val="single" w:sz="24" w:space="0" w:color="FFFFFF"/>
            </w:tcBorders>
            <w:noWrap/>
          </w:tcPr>
          <w:p w14:paraId="7E7A3F1D" w14:textId="77777777" w:rsidR="00767A78" w:rsidRPr="00862438" w:rsidRDefault="00767A78" w:rsidP="00887C4F">
            <w:pPr>
              <w:pStyle w:val="Tnumber"/>
              <w:keepNext/>
            </w:pPr>
            <w:r w:rsidRPr="00862438">
              <w:t>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2D42C14" w14:textId="77777777" w:rsidR="00767A78" w:rsidRPr="00862438" w:rsidRDefault="00767A78" w:rsidP="00887C4F">
            <w:pPr>
              <w:pStyle w:val="Tnumber"/>
              <w:keepNext/>
            </w:pPr>
            <w:r w:rsidRPr="00862438">
              <w:t>264</w:t>
            </w:r>
          </w:p>
        </w:tc>
        <w:tc>
          <w:tcPr>
            <w:tcW w:w="1134" w:type="dxa"/>
            <w:tcBorders>
              <w:top w:val="single" w:sz="2" w:space="0" w:color="000000"/>
              <w:left w:val="single" w:sz="24" w:space="0" w:color="FFFFFF"/>
              <w:bottom w:val="single" w:sz="2" w:space="0" w:color="000000"/>
              <w:right w:val="single" w:sz="24" w:space="0" w:color="FFFFFF"/>
            </w:tcBorders>
            <w:noWrap/>
          </w:tcPr>
          <w:p w14:paraId="10ABCE84" w14:textId="77777777" w:rsidR="00767A78" w:rsidRPr="00862438" w:rsidRDefault="00767A78" w:rsidP="00887C4F">
            <w:pPr>
              <w:pStyle w:val="Tnumber"/>
              <w:keepNext/>
            </w:pPr>
            <w:r w:rsidRPr="00862438">
              <w:t>&gt;</w:t>
            </w:r>
            <w:r>
              <w:t>9</w:t>
            </w:r>
            <w:r w:rsidRPr="00862438">
              <w:t>00</w:t>
            </w:r>
          </w:p>
        </w:tc>
        <w:tc>
          <w:tcPr>
            <w:tcW w:w="1134" w:type="dxa"/>
            <w:tcBorders>
              <w:top w:val="single" w:sz="2" w:space="0" w:color="000000"/>
              <w:left w:val="single" w:sz="24" w:space="0" w:color="FFFFFF"/>
              <w:bottom w:val="single" w:sz="2" w:space="0" w:color="000000"/>
              <w:right w:val="single" w:sz="24" w:space="0" w:color="FFFFFF"/>
            </w:tcBorders>
            <w:noWrap/>
          </w:tcPr>
          <w:p w14:paraId="2A1E49DD" w14:textId="77777777" w:rsidR="00767A78" w:rsidRPr="00862438" w:rsidRDefault="00767A78" w:rsidP="00887C4F">
            <w:pPr>
              <w:pStyle w:val="Tnumber"/>
              <w:keepNext/>
            </w:pPr>
            <w:r w:rsidRPr="00862438">
              <w:t>250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70467B1" w14:textId="77777777" w:rsidR="00767A78" w:rsidRPr="00862438" w:rsidRDefault="00767A78" w:rsidP="00887C4F">
            <w:pPr>
              <w:pStyle w:val="Tnumber"/>
              <w:keepNext/>
            </w:pPr>
            <w:r w:rsidRPr="00862438">
              <w:t>197</w:t>
            </w:r>
          </w:p>
        </w:tc>
        <w:tc>
          <w:tcPr>
            <w:tcW w:w="1134" w:type="dxa"/>
            <w:tcBorders>
              <w:top w:val="single" w:sz="2" w:space="0" w:color="000000"/>
              <w:left w:val="single" w:sz="24" w:space="0" w:color="FFFFFF"/>
              <w:bottom w:val="single" w:sz="2" w:space="0" w:color="000000"/>
            </w:tcBorders>
            <w:noWrap/>
          </w:tcPr>
          <w:p w14:paraId="2F0AEB49" w14:textId="77777777" w:rsidR="00767A78" w:rsidRPr="00862438" w:rsidRDefault="00767A78" w:rsidP="00887C4F">
            <w:pPr>
              <w:pStyle w:val="Tnumber"/>
              <w:keepNext/>
            </w:pPr>
            <w:r w:rsidRPr="00862438">
              <w:t>–21.2</w:t>
            </w:r>
          </w:p>
        </w:tc>
      </w:tr>
      <w:tr w:rsidR="00767A78" w:rsidRPr="00862438" w14:paraId="3FE28D35" w14:textId="77777777" w:rsidTr="00767A78">
        <w:tc>
          <w:tcPr>
            <w:tcW w:w="3402" w:type="dxa"/>
            <w:tcBorders>
              <w:top w:val="single" w:sz="2" w:space="0" w:color="000000"/>
              <w:bottom w:val="single" w:sz="2" w:space="0" w:color="000000"/>
              <w:right w:val="single" w:sz="24" w:space="0" w:color="FFFFFF"/>
            </w:tcBorders>
          </w:tcPr>
          <w:p w14:paraId="4D23133C" w14:textId="77777777" w:rsidR="00767A78" w:rsidRPr="00862438" w:rsidRDefault="00767A78" w:rsidP="00887C4F">
            <w:pPr>
              <w:pStyle w:val="Ttext"/>
              <w:keepNext/>
            </w:pPr>
            <w:r w:rsidRPr="0086243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55A5BA4A" w14:textId="77777777" w:rsidR="00767A78" w:rsidRPr="00862438" w:rsidRDefault="00767A78" w:rsidP="00887C4F">
            <w:pPr>
              <w:pStyle w:val="Tnumber"/>
              <w:keepNext/>
            </w:pPr>
            <w:r w:rsidRPr="00862438">
              <w:t>114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1E88C63" w14:textId="77777777" w:rsidR="00767A78" w:rsidRPr="00862438" w:rsidRDefault="00767A78" w:rsidP="00887C4F">
            <w:pPr>
              <w:pStyle w:val="Tnumber"/>
              <w:keepNext/>
            </w:pPr>
            <w:r w:rsidRPr="00862438">
              <w:t>147</w:t>
            </w:r>
          </w:p>
        </w:tc>
        <w:tc>
          <w:tcPr>
            <w:tcW w:w="1134" w:type="dxa"/>
            <w:tcBorders>
              <w:top w:val="single" w:sz="2" w:space="0" w:color="000000"/>
              <w:left w:val="single" w:sz="24" w:space="0" w:color="FFFFFF"/>
              <w:bottom w:val="single" w:sz="2" w:space="0" w:color="000000"/>
              <w:right w:val="single" w:sz="24" w:space="0" w:color="FFFFFF"/>
            </w:tcBorders>
            <w:noWrap/>
          </w:tcPr>
          <w:p w14:paraId="615E9432" w14:textId="77777777" w:rsidR="00767A78" w:rsidRPr="00862438" w:rsidRDefault="00767A78" w:rsidP="00887C4F">
            <w:pPr>
              <w:pStyle w:val="Tnumber"/>
              <w:keepNext/>
            </w:pPr>
            <w:r w:rsidRPr="00862438">
              <w:t>+28.9</w:t>
            </w:r>
          </w:p>
        </w:tc>
        <w:tc>
          <w:tcPr>
            <w:tcW w:w="1134" w:type="dxa"/>
            <w:tcBorders>
              <w:top w:val="single" w:sz="2" w:space="0" w:color="000000"/>
              <w:left w:val="single" w:sz="24" w:space="0" w:color="FFFFFF"/>
              <w:bottom w:val="single" w:sz="2" w:space="0" w:color="000000"/>
              <w:right w:val="single" w:sz="24" w:space="0" w:color="FFFFFF"/>
            </w:tcBorders>
            <w:noWrap/>
          </w:tcPr>
          <w:p w14:paraId="04682107" w14:textId="77777777" w:rsidR="00767A78" w:rsidRPr="00862438" w:rsidRDefault="00767A78" w:rsidP="00887C4F">
            <w:pPr>
              <w:pStyle w:val="Tnumber"/>
              <w:keepNext/>
            </w:pPr>
            <w:r w:rsidRPr="00862438">
              <w:t>32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9C7BB5F" w14:textId="77777777" w:rsidR="00767A78" w:rsidRPr="00862438" w:rsidRDefault="00767A78" w:rsidP="00887C4F">
            <w:pPr>
              <w:pStyle w:val="Tnumber"/>
              <w:keepNext/>
            </w:pPr>
            <w:r w:rsidRPr="00862438">
              <w:t>14</w:t>
            </w:r>
          </w:p>
        </w:tc>
        <w:tc>
          <w:tcPr>
            <w:tcW w:w="1134" w:type="dxa"/>
            <w:tcBorders>
              <w:top w:val="single" w:sz="2" w:space="0" w:color="000000"/>
              <w:left w:val="single" w:sz="24" w:space="0" w:color="FFFFFF"/>
              <w:bottom w:val="single" w:sz="2" w:space="0" w:color="000000"/>
            </w:tcBorders>
            <w:noWrap/>
          </w:tcPr>
          <w:p w14:paraId="6E6BFD55" w14:textId="77777777" w:rsidR="00767A78" w:rsidRPr="00862438" w:rsidRDefault="00767A78" w:rsidP="00887C4F">
            <w:pPr>
              <w:pStyle w:val="Tnumber"/>
              <w:keepNext/>
            </w:pPr>
            <w:r w:rsidRPr="00862438">
              <w:t>–56.3</w:t>
            </w:r>
          </w:p>
        </w:tc>
      </w:tr>
      <w:tr w:rsidR="00767A78" w:rsidRPr="00862438" w14:paraId="63661D7D" w14:textId="77777777" w:rsidTr="00767A78">
        <w:tc>
          <w:tcPr>
            <w:tcW w:w="3402" w:type="dxa"/>
            <w:tcBorders>
              <w:top w:val="single" w:sz="2" w:space="0" w:color="000000"/>
              <w:bottom w:val="single" w:sz="2" w:space="0" w:color="000000"/>
              <w:right w:val="single" w:sz="24" w:space="0" w:color="FFFFFF"/>
            </w:tcBorders>
          </w:tcPr>
          <w:p w14:paraId="714FF04F" w14:textId="77777777" w:rsidR="00767A78" w:rsidRPr="00862438" w:rsidRDefault="00767A78" w:rsidP="00887C4F">
            <w:pPr>
              <w:pStyle w:val="TDummy"/>
              <w:keepNext/>
            </w:pPr>
            <w:bookmarkStart w:id="15" w:name="RANGE!L38:T38"/>
            <w:r w:rsidRPr="00862438">
              <w:t> </w:t>
            </w:r>
            <w:bookmarkEnd w:id="15"/>
          </w:p>
        </w:tc>
        <w:tc>
          <w:tcPr>
            <w:tcW w:w="1134" w:type="dxa"/>
            <w:tcBorders>
              <w:top w:val="single" w:sz="2" w:space="0" w:color="000000"/>
              <w:left w:val="single" w:sz="24" w:space="0" w:color="FFFFFF"/>
              <w:bottom w:val="single" w:sz="2" w:space="0" w:color="000000"/>
              <w:right w:val="single" w:sz="24" w:space="0" w:color="FFFFFF"/>
            </w:tcBorders>
          </w:tcPr>
          <w:p w14:paraId="22C30089"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DF848BC"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tcPr>
          <w:p w14:paraId="290B1A48"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9FC08A9"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4E50054"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tcBorders>
            <w:noWrap/>
          </w:tcPr>
          <w:p w14:paraId="204A748E" w14:textId="77777777" w:rsidR="00767A78" w:rsidRPr="00862438" w:rsidRDefault="00767A78" w:rsidP="00887C4F">
            <w:pPr>
              <w:pStyle w:val="TDummy"/>
              <w:keepNext/>
            </w:pPr>
            <w:r w:rsidRPr="00862438">
              <w:rPr>
                <w:b/>
                <w:bCs/>
              </w:rPr>
              <w:t> </w:t>
            </w:r>
          </w:p>
        </w:tc>
      </w:tr>
      <w:tr w:rsidR="00767A78" w:rsidRPr="00862438" w14:paraId="586AF3BB" w14:textId="77777777" w:rsidTr="00767A78">
        <w:tc>
          <w:tcPr>
            <w:tcW w:w="3402" w:type="dxa"/>
            <w:tcBorders>
              <w:top w:val="single" w:sz="2" w:space="0" w:color="000000"/>
              <w:bottom w:val="single" w:sz="2" w:space="0" w:color="000000"/>
              <w:right w:val="single" w:sz="24" w:space="0" w:color="FFFFFF"/>
            </w:tcBorders>
            <w:shd w:val="clear" w:color="000000" w:fill="80CFF2"/>
          </w:tcPr>
          <w:p w14:paraId="5F861D33" w14:textId="77777777" w:rsidR="00767A78" w:rsidRPr="00862438" w:rsidRDefault="00767A78" w:rsidP="00887C4F">
            <w:pPr>
              <w:pStyle w:val="Ttextbold"/>
              <w:keepNext/>
            </w:pPr>
            <w:bookmarkStart w:id="16" w:name="RANGE!L39:T39"/>
            <w:r w:rsidRPr="00862438">
              <w:t>Polycarbonates</w:t>
            </w:r>
            <w:bookmarkEnd w:id="16"/>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371B10BC"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245DC2A8"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3C017003"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1E32F9C9"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24A54D91"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tcBorders>
            <w:shd w:val="clear" w:color="000000" w:fill="80CFF2"/>
            <w:noWrap/>
          </w:tcPr>
          <w:p w14:paraId="749D7A55" w14:textId="77777777" w:rsidR="00767A78" w:rsidRPr="00862438" w:rsidRDefault="00767A78" w:rsidP="00887C4F">
            <w:pPr>
              <w:pStyle w:val="Tnumberbold"/>
              <w:keepNext/>
            </w:pPr>
            <w:r w:rsidRPr="00862438">
              <w:rPr>
                <w:b/>
                <w:bCs/>
              </w:rPr>
              <w:t> </w:t>
            </w:r>
          </w:p>
        </w:tc>
      </w:tr>
      <w:tr w:rsidR="00767A78" w:rsidRPr="00862438" w14:paraId="0111AE59" w14:textId="77777777" w:rsidTr="00767A78">
        <w:tc>
          <w:tcPr>
            <w:tcW w:w="3402" w:type="dxa"/>
            <w:tcBorders>
              <w:top w:val="single" w:sz="2" w:space="0" w:color="000000"/>
              <w:bottom w:val="single" w:sz="2" w:space="0" w:color="000000"/>
              <w:right w:val="single" w:sz="24" w:space="0" w:color="FFFFFF"/>
            </w:tcBorders>
            <w:noWrap/>
          </w:tcPr>
          <w:p w14:paraId="1A1539A8" w14:textId="77777777" w:rsidR="00767A78" w:rsidRPr="00862438" w:rsidRDefault="00767A78" w:rsidP="00887C4F">
            <w:pPr>
              <w:pStyle w:val="Ttext"/>
              <w:keepNext/>
            </w:pPr>
            <w:r w:rsidRPr="00862438">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3B51AB03" w14:textId="77777777" w:rsidR="00767A78" w:rsidRPr="00862438" w:rsidRDefault="00767A78" w:rsidP="00887C4F">
            <w:pPr>
              <w:pStyle w:val="Tnumber"/>
              <w:keepNext/>
            </w:pPr>
            <w:r w:rsidRPr="00862438">
              <w:t>+3.5%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71A68C8" w14:textId="77777777" w:rsidR="00767A78" w:rsidRPr="00862438" w:rsidRDefault="00767A78" w:rsidP="00887C4F">
            <w:pPr>
              <w:pStyle w:val="Tnumber"/>
              <w:keepNext/>
            </w:pPr>
            <w:r w:rsidRPr="00862438">
              <w:t>+3.2%</w:t>
            </w:r>
          </w:p>
        </w:tc>
        <w:tc>
          <w:tcPr>
            <w:tcW w:w="1134" w:type="dxa"/>
            <w:tcBorders>
              <w:top w:val="single" w:sz="2" w:space="0" w:color="000000"/>
              <w:left w:val="single" w:sz="24" w:space="0" w:color="FFFFFF"/>
              <w:bottom w:val="single" w:sz="2" w:space="0" w:color="000000"/>
              <w:right w:val="single" w:sz="24" w:space="0" w:color="FFFFFF"/>
            </w:tcBorders>
            <w:noWrap/>
          </w:tcPr>
          <w:p w14:paraId="5B32A090"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4046A155" w14:textId="77777777" w:rsidR="00767A78" w:rsidRPr="00862438" w:rsidRDefault="00767A78" w:rsidP="00887C4F">
            <w:pPr>
              <w:pStyle w:val="Tnumber"/>
              <w:keepNext/>
            </w:pPr>
            <w:r w:rsidRPr="00862438">
              <w:t>+2.7%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0A81EBB" w14:textId="77777777" w:rsidR="00767A78" w:rsidRPr="00862438" w:rsidRDefault="00767A78" w:rsidP="00887C4F">
            <w:pPr>
              <w:pStyle w:val="Tnumber"/>
              <w:keepNext/>
            </w:pPr>
            <w:r w:rsidRPr="00862438">
              <w:t>–3.0%</w:t>
            </w:r>
          </w:p>
        </w:tc>
        <w:tc>
          <w:tcPr>
            <w:tcW w:w="1134" w:type="dxa"/>
            <w:tcBorders>
              <w:top w:val="single" w:sz="2" w:space="0" w:color="000000"/>
              <w:left w:val="single" w:sz="24" w:space="0" w:color="FFFFFF"/>
              <w:bottom w:val="single" w:sz="2" w:space="0" w:color="000000"/>
            </w:tcBorders>
            <w:noWrap/>
          </w:tcPr>
          <w:p w14:paraId="7CAFD880" w14:textId="77777777" w:rsidR="00767A78" w:rsidRPr="00862438" w:rsidRDefault="00767A78" w:rsidP="00887C4F">
            <w:pPr>
              <w:pStyle w:val="Tnumber"/>
              <w:keepNext/>
            </w:pPr>
            <w:r w:rsidRPr="00862438">
              <w:t> </w:t>
            </w:r>
          </w:p>
        </w:tc>
      </w:tr>
      <w:tr w:rsidR="00767A78" w:rsidRPr="00862438" w14:paraId="671EADF7" w14:textId="77777777" w:rsidTr="00767A78">
        <w:tc>
          <w:tcPr>
            <w:tcW w:w="3402" w:type="dxa"/>
            <w:tcBorders>
              <w:top w:val="single" w:sz="2" w:space="0" w:color="000000"/>
              <w:bottom w:val="single" w:sz="2" w:space="0" w:color="000000"/>
              <w:right w:val="single" w:sz="24" w:space="0" w:color="FFFFFF"/>
            </w:tcBorders>
            <w:noWrap/>
          </w:tcPr>
          <w:p w14:paraId="1E5A4BF3" w14:textId="77777777" w:rsidR="00767A78" w:rsidRPr="00862438" w:rsidRDefault="00767A78" w:rsidP="00887C4F">
            <w:pPr>
              <w:pStyle w:val="Ttext"/>
              <w:keepNext/>
            </w:pPr>
            <w:r w:rsidRPr="00862438">
              <w:t>Sales</w:t>
            </w:r>
          </w:p>
        </w:tc>
        <w:tc>
          <w:tcPr>
            <w:tcW w:w="1134" w:type="dxa"/>
            <w:tcBorders>
              <w:top w:val="single" w:sz="2" w:space="0" w:color="000000"/>
              <w:left w:val="single" w:sz="24" w:space="0" w:color="FFFFFF"/>
              <w:bottom w:val="single" w:sz="2" w:space="0" w:color="000000"/>
              <w:right w:val="single" w:sz="24" w:space="0" w:color="FFFFFF"/>
            </w:tcBorders>
            <w:noWrap/>
          </w:tcPr>
          <w:p w14:paraId="092064ED" w14:textId="77777777" w:rsidR="00767A78" w:rsidRPr="00862438" w:rsidRDefault="00767A78" w:rsidP="00887C4F">
            <w:pPr>
              <w:pStyle w:val="Tnumber"/>
              <w:keepNext/>
            </w:pPr>
            <w:r w:rsidRPr="00862438">
              <w:t>814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ACC8731" w14:textId="77777777" w:rsidR="00767A78" w:rsidRPr="00862438" w:rsidRDefault="00767A78" w:rsidP="00887C4F">
            <w:pPr>
              <w:pStyle w:val="Tnumber"/>
              <w:keepNext/>
            </w:pPr>
            <w:r w:rsidRPr="00862438">
              <w:t>803</w:t>
            </w:r>
          </w:p>
        </w:tc>
        <w:tc>
          <w:tcPr>
            <w:tcW w:w="1134" w:type="dxa"/>
            <w:tcBorders>
              <w:top w:val="single" w:sz="2" w:space="0" w:color="000000"/>
              <w:left w:val="single" w:sz="24" w:space="0" w:color="FFFFFF"/>
              <w:bottom w:val="single" w:sz="2" w:space="0" w:color="000000"/>
              <w:right w:val="single" w:sz="24" w:space="0" w:color="FFFFFF"/>
            </w:tcBorders>
            <w:noWrap/>
          </w:tcPr>
          <w:p w14:paraId="536B2FA4" w14:textId="77777777" w:rsidR="00767A78" w:rsidRPr="00862438" w:rsidRDefault="00767A78" w:rsidP="00887C4F">
            <w:pPr>
              <w:pStyle w:val="Tnumber"/>
              <w:keepNext/>
            </w:pPr>
            <w:r w:rsidRPr="00862438">
              <w:t>–1.4</w:t>
            </w:r>
          </w:p>
        </w:tc>
        <w:tc>
          <w:tcPr>
            <w:tcW w:w="1134" w:type="dxa"/>
            <w:tcBorders>
              <w:top w:val="single" w:sz="2" w:space="0" w:color="000000"/>
              <w:left w:val="single" w:sz="24" w:space="0" w:color="FFFFFF"/>
              <w:bottom w:val="single" w:sz="2" w:space="0" w:color="000000"/>
              <w:right w:val="single" w:sz="24" w:space="0" w:color="FFFFFF"/>
            </w:tcBorders>
            <w:noWrap/>
          </w:tcPr>
          <w:p w14:paraId="520F77A6" w14:textId="77777777" w:rsidR="00767A78" w:rsidRPr="00862438" w:rsidRDefault="00767A78" w:rsidP="00887C4F">
            <w:pPr>
              <w:pStyle w:val="Tnumber"/>
              <w:keepNext/>
            </w:pPr>
            <w:r w:rsidRPr="00862438">
              <w:t>3,473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66E09AD" w14:textId="77777777" w:rsidR="00767A78" w:rsidRPr="00862438" w:rsidRDefault="00767A78" w:rsidP="00887C4F">
            <w:pPr>
              <w:pStyle w:val="Tnumber"/>
              <w:keepNext/>
            </w:pPr>
            <w:r w:rsidRPr="00862438">
              <w:t>2,985</w:t>
            </w:r>
          </w:p>
        </w:tc>
        <w:tc>
          <w:tcPr>
            <w:tcW w:w="1134" w:type="dxa"/>
            <w:tcBorders>
              <w:top w:val="single" w:sz="2" w:space="0" w:color="000000"/>
              <w:left w:val="single" w:sz="24" w:space="0" w:color="FFFFFF"/>
              <w:bottom w:val="single" w:sz="2" w:space="0" w:color="000000"/>
            </w:tcBorders>
            <w:noWrap/>
          </w:tcPr>
          <w:p w14:paraId="3675FAAE" w14:textId="77777777" w:rsidR="00767A78" w:rsidRPr="00862438" w:rsidRDefault="00767A78" w:rsidP="00887C4F">
            <w:pPr>
              <w:pStyle w:val="Tnumber"/>
              <w:keepNext/>
            </w:pPr>
            <w:r w:rsidRPr="00862438">
              <w:t>–14.1</w:t>
            </w:r>
          </w:p>
        </w:tc>
      </w:tr>
      <w:tr w:rsidR="00767A78" w:rsidRPr="00862438" w14:paraId="43CD3621" w14:textId="77777777" w:rsidTr="00767A78">
        <w:tc>
          <w:tcPr>
            <w:tcW w:w="3402" w:type="dxa"/>
            <w:tcBorders>
              <w:top w:val="single" w:sz="2" w:space="0" w:color="000000"/>
              <w:bottom w:val="single" w:sz="2" w:space="0" w:color="000000"/>
              <w:right w:val="single" w:sz="24" w:space="0" w:color="FFFFFF"/>
            </w:tcBorders>
            <w:noWrap/>
          </w:tcPr>
          <w:p w14:paraId="1F04C4E2" w14:textId="77777777" w:rsidR="00767A78" w:rsidRPr="00862438" w:rsidRDefault="00767A78" w:rsidP="00887C4F">
            <w:pPr>
              <w:pStyle w:val="Ttext"/>
              <w:keepNext/>
            </w:pPr>
            <w:r w:rsidRPr="00862438">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1501D803"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2C8B0A1"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682CB32E"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15E2C960"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854344D"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tcBorders>
            <w:noWrap/>
          </w:tcPr>
          <w:p w14:paraId="1167524E" w14:textId="77777777" w:rsidR="00767A78" w:rsidRPr="00862438" w:rsidRDefault="00767A78" w:rsidP="00887C4F">
            <w:pPr>
              <w:pStyle w:val="Tnumber"/>
              <w:keepNext/>
            </w:pPr>
            <w:r w:rsidRPr="00862438">
              <w:t> </w:t>
            </w:r>
          </w:p>
        </w:tc>
      </w:tr>
      <w:tr w:rsidR="00767A78" w:rsidRPr="00862438" w14:paraId="5E53B7DF" w14:textId="77777777" w:rsidTr="00767A78">
        <w:tc>
          <w:tcPr>
            <w:tcW w:w="3402" w:type="dxa"/>
            <w:tcBorders>
              <w:top w:val="single" w:sz="2" w:space="0" w:color="000000"/>
              <w:bottom w:val="single" w:sz="2" w:space="0" w:color="000000"/>
              <w:right w:val="single" w:sz="24" w:space="0" w:color="FFFFFF"/>
            </w:tcBorders>
            <w:noWrap/>
          </w:tcPr>
          <w:p w14:paraId="32A267E1" w14:textId="77777777" w:rsidR="00767A78" w:rsidRPr="00862438" w:rsidRDefault="00767A78" w:rsidP="00887C4F">
            <w:pPr>
              <w:pStyle w:val="Ttextindent1"/>
              <w:keepNext/>
            </w:pPr>
            <w:bookmarkStart w:id="17" w:name="RANGE!L43:L46"/>
            <w:r w:rsidRPr="00862438">
              <w:t>Volume</w:t>
            </w:r>
            <w:bookmarkEnd w:id="17"/>
          </w:p>
        </w:tc>
        <w:tc>
          <w:tcPr>
            <w:tcW w:w="1134" w:type="dxa"/>
            <w:tcBorders>
              <w:top w:val="single" w:sz="2" w:space="0" w:color="000000"/>
              <w:left w:val="single" w:sz="24" w:space="0" w:color="FFFFFF"/>
              <w:bottom w:val="single" w:sz="2" w:space="0" w:color="000000"/>
              <w:right w:val="single" w:sz="24" w:space="0" w:color="FFFFFF"/>
            </w:tcBorders>
            <w:noWrap/>
          </w:tcPr>
          <w:p w14:paraId="1B77FF0D" w14:textId="77777777" w:rsidR="00767A78" w:rsidRPr="00862438" w:rsidRDefault="00767A78" w:rsidP="00887C4F">
            <w:pPr>
              <w:pStyle w:val="Tnumber"/>
              <w:keepNext/>
            </w:pPr>
            <w:r w:rsidRPr="0086243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580672B" w14:textId="77777777" w:rsidR="00767A78" w:rsidRPr="00862438" w:rsidRDefault="00767A78" w:rsidP="00887C4F">
            <w:pPr>
              <w:pStyle w:val="Tnumber"/>
              <w:keepNext/>
            </w:pPr>
            <w:r w:rsidRPr="00862438">
              <w:t>+7.4%</w:t>
            </w:r>
          </w:p>
        </w:tc>
        <w:tc>
          <w:tcPr>
            <w:tcW w:w="1134" w:type="dxa"/>
            <w:tcBorders>
              <w:top w:val="single" w:sz="2" w:space="0" w:color="000000"/>
              <w:left w:val="single" w:sz="24" w:space="0" w:color="FFFFFF"/>
              <w:bottom w:val="single" w:sz="2" w:space="0" w:color="000000"/>
              <w:right w:val="single" w:sz="24" w:space="0" w:color="FFFFFF"/>
            </w:tcBorders>
            <w:noWrap/>
          </w:tcPr>
          <w:p w14:paraId="0A02C779"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7AB212F" w14:textId="77777777" w:rsidR="00767A78" w:rsidRPr="00862438" w:rsidRDefault="00767A78" w:rsidP="00887C4F">
            <w:pPr>
              <w:pStyle w:val="Tnumber"/>
              <w:keepNext/>
            </w:pPr>
            <w:r w:rsidRPr="00862438">
              <w:t>+2.4%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B24D2B3" w14:textId="77777777" w:rsidR="00767A78" w:rsidRPr="00862438" w:rsidRDefault="00767A78" w:rsidP="00887C4F">
            <w:pPr>
              <w:pStyle w:val="Tnumber"/>
              <w:keepNext/>
            </w:pPr>
            <w:r w:rsidRPr="00862438">
              <w:t>–2.3%</w:t>
            </w:r>
          </w:p>
        </w:tc>
        <w:tc>
          <w:tcPr>
            <w:tcW w:w="1134" w:type="dxa"/>
            <w:tcBorders>
              <w:top w:val="single" w:sz="2" w:space="0" w:color="000000"/>
              <w:left w:val="single" w:sz="24" w:space="0" w:color="FFFFFF"/>
              <w:bottom w:val="single" w:sz="2" w:space="0" w:color="000000"/>
            </w:tcBorders>
            <w:noWrap/>
          </w:tcPr>
          <w:p w14:paraId="7EB419EE" w14:textId="77777777" w:rsidR="00767A78" w:rsidRPr="00862438" w:rsidRDefault="00767A78" w:rsidP="00887C4F">
            <w:pPr>
              <w:pStyle w:val="Tnumber"/>
              <w:keepNext/>
            </w:pPr>
            <w:r w:rsidRPr="00862438">
              <w:t> </w:t>
            </w:r>
          </w:p>
        </w:tc>
      </w:tr>
      <w:tr w:rsidR="00767A78" w:rsidRPr="00862438" w14:paraId="07DA104B" w14:textId="77777777" w:rsidTr="00767A78">
        <w:tc>
          <w:tcPr>
            <w:tcW w:w="3402" w:type="dxa"/>
            <w:tcBorders>
              <w:top w:val="single" w:sz="2" w:space="0" w:color="000000"/>
              <w:bottom w:val="single" w:sz="2" w:space="0" w:color="000000"/>
              <w:right w:val="single" w:sz="24" w:space="0" w:color="FFFFFF"/>
            </w:tcBorders>
            <w:noWrap/>
          </w:tcPr>
          <w:p w14:paraId="4CC1BBF4" w14:textId="77777777" w:rsidR="00767A78" w:rsidRPr="00862438" w:rsidRDefault="00767A78" w:rsidP="00887C4F">
            <w:pPr>
              <w:pStyle w:val="Ttextindent1"/>
              <w:keepNext/>
            </w:pPr>
            <w:r w:rsidRPr="00862438">
              <w:t>Price</w:t>
            </w:r>
          </w:p>
        </w:tc>
        <w:tc>
          <w:tcPr>
            <w:tcW w:w="1134" w:type="dxa"/>
            <w:tcBorders>
              <w:top w:val="single" w:sz="2" w:space="0" w:color="000000"/>
              <w:left w:val="single" w:sz="24" w:space="0" w:color="FFFFFF"/>
              <w:bottom w:val="single" w:sz="2" w:space="0" w:color="000000"/>
              <w:right w:val="single" w:sz="24" w:space="0" w:color="FFFFFF"/>
            </w:tcBorders>
            <w:noWrap/>
          </w:tcPr>
          <w:p w14:paraId="3F546698" w14:textId="77777777" w:rsidR="00767A78" w:rsidRPr="00862438" w:rsidRDefault="00767A78" w:rsidP="00887C4F">
            <w:pPr>
              <w:pStyle w:val="Tnumber"/>
              <w:keepNext/>
            </w:pPr>
            <w:r w:rsidRPr="00862438">
              <w:t>–13.5%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3F09EBA" w14:textId="77777777" w:rsidR="00767A78" w:rsidRPr="00862438" w:rsidRDefault="00767A78" w:rsidP="00887C4F">
            <w:pPr>
              <w:pStyle w:val="Tnumber"/>
              <w:keepNext/>
            </w:pPr>
            <w:r w:rsidRPr="00862438">
              <w:t>–2.1%</w:t>
            </w:r>
          </w:p>
        </w:tc>
        <w:tc>
          <w:tcPr>
            <w:tcW w:w="1134" w:type="dxa"/>
            <w:tcBorders>
              <w:top w:val="single" w:sz="2" w:space="0" w:color="000000"/>
              <w:left w:val="single" w:sz="24" w:space="0" w:color="FFFFFF"/>
              <w:bottom w:val="single" w:sz="2" w:space="0" w:color="000000"/>
              <w:right w:val="single" w:sz="24" w:space="0" w:color="FFFFFF"/>
            </w:tcBorders>
            <w:noWrap/>
          </w:tcPr>
          <w:p w14:paraId="61060050"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3E46E67D" w14:textId="77777777" w:rsidR="00767A78" w:rsidRPr="00862438" w:rsidRDefault="00767A78" w:rsidP="00887C4F">
            <w:pPr>
              <w:pStyle w:val="Tnumber"/>
              <w:keepNext/>
            </w:pPr>
            <w:r w:rsidRPr="00862438">
              <w:t>–16.5%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10512B1" w14:textId="77777777" w:rsidR="00767A78" w:rsidRPr="00862438" w:rsidRDefault="00767A78" w:rsidP="00887C4F">
            <w:pPr>
              <w:pStyle w:val="Tnumber"/>
              <w:keepNext/>
            </w:pPr>
            <w:r w:rsidRPr="00862438">
              <w:t>–7.0%</w:t>
            </w:r>
          </w:p>
        </w:tc>
        <w:tc>
          <w:tcPr>
            <w:tcW w:w="1134" w:type="dxa"/>
            <w:tcBorders>
              <w:top w:val="single" w:sz="2" w:space="0" w:color="000000"/>
              <w:left w:val="single" w:sz="24" w:space="0" w:color="FFFFFF"/>
              <w:bottom w:val="single" w:sz="2" w:space="0" w:color="000000"/>
            </w:tcBorders>
            <w:noWrap/>
          </w:tcPr>
          <w:p w14:paraId="7AAADC80" w14:textId="77777777" w:rsidR="00767A78" w:rsidRPr="00862438" w:rsidRDefault="00767A78" w:rsidP="00887C4F">
            <w:pPr>
              <w:pStyle w:val="Tnumber"/>
              <w:keepNext/>
            </w:pPr>
            <w:r w:rsidRPr="00862438">
              <w:t> </w:t>
            </w:r>
          </w:p>
        </w:tc>
      </w:tr>
      <w:tr w:rsidR="00767A78" w:rsidRPr="00862438" w14:paraId="3EE0A9BB" w14:textId="77777777" w:rsidTr="00767A78">
        <w:tc>
          <w:tcPr>
            <w:tcW w:w="3402" w:type="dxa"/>
            <w:tcBorders>
              <w:top w:val="single" w:sz="2" w:space="0" w:color="000000"/>
              <w:bottom w:val="single" w:sz="2" w:space="0" w:color="000000"/>
              <w:right w:val="single" w:sz="24" w:space="0" w:color="FFFFFF"/>
            </w:tcBorders>
            <w:noWrap/>
          </w:tcPr>
          <w:p w14:paraId="53AFAF0A" w14:textId="77777777" w:rsidR="00767A78" w:rsidRPr="00862438" w:rsidRDefault="00767A78" w:rsidP="00887C4F">
            <w:pPr>
              <w:pStyle w:val="Ttextindent1"/>
              <w:keepNext/>
            </w:pPr>
            <w:r w:rsidRPr="00862438">
              <w:t>Currency</w:t>
            </w:r>
          </w:p>
        </w:tc>
        <w:tc>
          <w:tcPr>
            <w:tcW w:w="1134" w:type="dxa"/>
            <w:tcBorders>
              <w:top w:val="single" w:sz="2" w:space="0" w:color="000000"/>
              <w:left w:val="single" w:sz="24" w:space="0" w:color="FFFFFF"/>
              <w:bottom w:val="single" w:sz="2" w:space="0" w:color="000000"/>
              <w:right w:val="single" w:sz="24" w:space="0" w:color="FFFFFF"/>
            </w:tcBorders>
            <w:noWrap/>
          </w:tcPr>
          <w:p w14:paraId="15DAE967" w14:textId="77777777" w:rsidR="00767A78" w:rsidRPr="00862438" w:rsidRDefault="00767A78" w:rsidP="00887C4F">
            <w:pPr>
              <w:pStyle w:val="Tnumber"/>
              <w:keepNext/>
            </w:pPr>
            <w:r w:rsidRPr="00862438">
              <w:t>+1.6%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A38D4EF" w14:textId="77777777" w:rsidR="00767A78" w:rsidRPr="00862438" w:rsidRDefault="00767A78" w:rsidP="00887C4F">
            <w:pPr>
              <w:pStyle w:val="Tnumber"/>
              <w:keepNext/>
            </w:pPr>
            <w:r w:rsidRPr="00862438">
              <w:t>–3.7%</w:t>
            </w:r>
          </w:p>
        </w:tc>
        <w:tc>
          <w:tcPr>
            <w:tcW w:w="1134" w:type="dxa"/>
            <w:tcBorders>
              <w:top w:val="single" w:sz="2" w:space="0" w:color="000000"/>
              <w:left w:val="single" w:sz="24" w:space="0" w:color="FFFFFF"/>
              <w:bottom w:val="single" w:sz="2" w:space="0" w:color="000000"/>
              <w:right w:val="single" w:sz="24" w:space="0" w:color="FFFFFF"/>
            </w:tcBorders>
            <w:noWrap/>
          </w:tcPr>
          <w:p w14:paraId="414D975C"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58B489A6" w14:textId="77777777" w:rsidR="00767A78" w:rsidRPr="00862438" w:rsidRDefault="00767A78" w:rsidP="00887C4F">
            <w:pPr>
              <w:pStyle w:val="Tnumber"/>
              <w:keepNext/>
            </w:pPr>
            <w:r w:rsidRPr="00862438">
              <w:t>+2.0%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1118E5B" w14:textId="77777777" w:rsidR="00767A78" w:rsidRPr="00862438" w:rsidRDefault="00767A78" w:rsidP="00887C4F">
            <w:pPr>
              <w:pStyle w:val="Tnumber"/>
              <w:keepNext/>
            </w:pPr>
            <w:r w:rsidRPr="00862438">
              <w:t>–1.5%</w:t>
            </w:r>
          </w:p>
        </w:tc>
        <w:tc>
          <w:tcPr>
            <w:tcW w:w="1134" w:type="dxa"/>
            <w:tcBorders>
              <w:top w:val="single" w:sz="2" w:space="0" w:color="000000"/>
              <w:left w:val="single" w:sz="24" w:space="0" w:color="FFFFFF"/>
              <w:bottom w:val="single" w:sz="2" w:space="0" w:color="000000"/>
            </w:tcBorders>
            <w:noWrap/>
          </w:tcPr>
          <w:p w14:paraId="398F05DC" w14:textId="77777777" w:rsidR="00767A78" w:rsidRPr="00862438" w:rsidRDefault="00767A78" w:rsidP="00887C4F">
            <w:pPr>
              <w:pStyle w:val="Tnumber"/>
              <w:keepNext/>
            </w:pPr>
            <w:r w:rsidRPr="00862438">
              <w:t> </w:t>
            </w:r>
          </w:p>
        </w:tc>
      </w:tr>
      <w:tr w:rsidR="00767A78" w:rsidRPr="00862438" w14:paraId="0F35E414" w14:textId="77777777" w:rsidTr="00767A78">
        <w:tc>
          <w:tcPr>
            <w:tcW w:w="3402" w:type="dxa"/>
            <w:tcBorders>
              <w:top w:val="single" w:sz="2" w:space="0" w:color="000000"/>
              <w:bottom w:val="single" w:sz="2" w:space="0" w:color="000000"/>
              <w:right w:val="single" w:sz="24" w:space="0" w:color="FFFFFF"/>
            </w:tcBorders>
            <w:noWrap/>
          </w:tcPr>
          <w:p w14:paraId="4BDC387C" w14:textId="77777777" w:rsidR="00767A78" w:rsidRPr="00862438" w:rsidRDefault="00767A78" w:rsidP="00887C4F">
            <w:pPr>
              <w:pStyle w:val="Ttextindent1"/>
              <w:keepNext/>
            </w:pPr>
            <w:r w:rsidRPr="00862438">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5A6FC6CF" w14:textId="77777777" w:rsidR="00767A78" w:rsidRPr="00862438" w:rsidRDefault="00767A78" w:rsidP="00887C4F">
            <w:pPr>
              <w:pStyle w:val="Tnumber"/>
              <w:keepNext/>
            </w:pPr>
            <w:r w:rsidRPr="00862438">
              <w:t>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D2AE445" w14:textId="77777777" w:rsidR="00767A78" w:rsidRPr="00862438" w:rsidRDefault="00767A78" w:rsidP="00887C4F">
            <w:pPr>
              <w:pStyle w:val="Tnumber"/>
              <w:keepNext/>
            </w:pPr>
            <w:r w:rsidRPr="00862438">
              <w:t>–3.0%</w:t>
            </w:r>
          </w:p>
        </w:tc>
        <w:tc>
          <w:tcPr>
            <w:tcW w:w="1134" w:type="dxa"/>
            <w:tcBorders>
              <w:top w:val="single" w:sz="2" w:space="0" w:color="000000"/>
              <w:left w:val="single" w:sz="24" w:space="0" w:color="FFFFFF"/>
              <w:bottom w:val="single" w:sz="2" w:space="0" w:color="000000"/>
              <w:right w:val="single" w:sz="24" w:space="0" w:color="FFFFFF"/>
            </w:tcBorders>
            <w:noWrap/>
          </w:tcPr>
          <w:p w14:paraId="4183E237"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7B8A25D4" w14:textId="77777777" w:rsidR="00767A78" w:rsidRPr="00862438" w:rsidRDefault="00767A78" w:rsidP="00887C4F">
            <w:pPr>
              <w:pStyle w:val="Tnumber"/>
              <w:keepNext/>
            </w:pPr>
            <w:r w:rsidRPr="00862438">
              <w:t>–2.2%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DDA2BA6" w14:textId="77777777" w:rsidR="00767A78" w:rsidRPr="00862438" w:rsidRDefault="00767A78" w:rsidP="00887C4F">
            <w:pPr>
              <w:pStyle w:val="Tnumber"/>
              <w:keepNext/>
            </w:pPr>
            <w:r w:rsidRPr="00862438">
              <w:t>–3.3%</w:t>
            </w:r>
          </w:p>
        </w:tc>
        <w:tc>
          <w:tcPr>
            <w:tcW w:w="1134" w:type="dxa"/>
            <w:tcBorders>
              <w:top w:val="single" w:sz="2" w:space="0" w:color="000000"/>
              <w:left w:val="single" w:sz="24" w:space="0" w:color="FFFFFF"/>
              <w:bottom w:val="single" w:sz="2" w:space="0" w:color="000000"/>
            </w:tcBorders>
            <w:noWrap/>
          </w:tcPr>
          <w:p w14:paraId="35C98667" w14:textId="77777777" w:rsidR="00767A78" w:rsidRPr="00862438" w:rsidRDefault="00767A78" w:rsidP="00887C4F">
            <w:pPr>
              <w:pStyle w:val="Tnumber"/>
              <w:keepNext/>
            </w:pPr>
            <w:r w:rsidRPr="00862438">
              <w:t> </w:t>
            </w:r>
          </w:p>
        </w:tc>
      </w:tr>
      <w:tr w:rsidR="00767A78" w:rsidRPr="00862438" w14:paraId="1EAA08A3" w14:textId="77777777" w:rsidTr="00767A78">
        <w:tc>
          <w:tcPr>
            <w:tcW w:w="3402" w:type="dxa"/>
            <w:tcBorders>
              <w:top w:val="single" w:sz="2" w:space="0" w:color="000000"/>
              <w:bottom w:val="single" w:sz="2" w:space="0" w:color="000000"/>
              <w:right w:val="single" w:sz="24" w:space="0" w:color="FFFFFF"/>
            </w:tcBorders>
            <w:noWrap/>
          </w:tcPr>
          <w:p w14:paraId="217B91C2" w14:textId="77777777" w:rsidR="00767A78" w:rsidRPr="00862438" w:rsidRDefault="00767A78" w:rsidP="00887C4F">
            <w:pPr>
              <w:pStyle w:val="Ttext"/>
              <w:keepNext/>
            </w:pPr>
            <w:r w:rsidRPr="00862438">
              <w:t>EBITDA</w:t>
            </w:r>
          </w:p>
        </w:tc>
        <w:tc>
          <w:tcPr>
            <w:tcW w:w="1134" w:type="dxa"/>
            <w:tcBorders>
              <w:top w:val="single" w:sz="2" w:space="0" w:color="000000"/>
              <w:left w:val="single" w:sz="24" w:space="0" w:color="FFFFFF"/>
              <w:bottom w:val="single" w:sz="2" w:space="0" w:color="000000"/>
              <w:right w:val="single" w:sz="24" w:space="0" w:color="FFFFFF"/>
            </w:tcBorders>
            <w:noWrap/>
          </w:tcPr>
          <w:p w14:paraId="1C9385B0" w14:textId="77777777" w:rsidR="00767A78" w:rsidRPr="00862438" w:rsidRDefault="00767A78" w:rsidP="00887C4F">
            <w:pPr>
              <w:pStyle w:val="Tnumber"/>
              <w:keepNext/>
            </w:pPr>
            <w:r w:rsidRPr="00862438">
              <w:t>95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27C6BFB" w14:textId="77777777" w:rsidR="00767A78" w:rsidRPr="00862438" w:rsidRDefault="00767A78" w:rsidP="00887C4F">
            <w:pPr>
              <w:pStyle w:val="Tnumber"/>
              <w:keepNext/>
            </w:pPr>
            <w:r w:rsidRPr="00862438">
              <w:t>200</w:t>
            </w:r>
          </w:p>
        </w:tc>
        <w:tc>
          <w:tcPr>
            <w:tcW w:w="1134" w:type="dxa"/>
            <w:tcBorders>
              <w:top w:val="single" w:sz="2" w:space="0" w:color="000000"/>
              <w:left w:val="single" w:sz="24" w:space="0" w:color="FFFFFF"/>
              <w:bottom w:val="single" w:sz="2" w:space="0" w:color="000000"/>
              <w:right w:val="single" w:sz="24" w:space="0" w:color="FFFFFF"/>
            </w:tcBorders>
            <w:noWrap/>
          </w:tcPr>
          <w:p w14:paraId="5A475B1E" w14:textId="77777777" w:rsidR="00767A78" w:rsidRPr="00862438" w:rsidRDefault="00767A78" w:rsidP="00887C4F">
            <w:pPr>
              <w:pStyle w:val="Tnumber"/>
              <w:keepNext/>
            </w:pPr>
            <w:r w:rsidRPr="00862438">
              <w:t>&gt;100</w:t>
            </w:r>
          </w:p>
        </w:tc>
        <w:tc>
          <w:tcPr>
            <w:tcW w:w="1134" w:type="dxa"/>
            <w:tcBorders>
              <w:top w:val="single" w:sz="2" w:space="0" w:color="000000"/>
              <w:left w:val="single" w:sz="24" w:space="0" w:color="FFFFFF"/>
              <w:bottom w:val="single" w:sz="2" w:space="0" w:color="000000"/>
              <w:right w:val="single" w:sz="24" w:space="0" w:color="FFFFFF"/>
            </w:tcBorders>
            <w:noWrap/>
          </w:tcPr>
          <w:p w14:paraId="7E7F6D0E" w14:textId="77777777" w:rsidR="00767A78" w:rsidRPr="00862438" w:rsidRDefault="00767A78" w:rsidP="00887C4F">
            <w:pPr>
              <w:pStyle w:val="Tnumber"/>
              <w:keepNext/>
            </w:pPr>
            <w:r w:rsidRPr="00862438">
              <w:t>536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987A626" w14:textId="77777777" w:rsidR="00767A78" w:rsidRPr="00862438" w:rsidRDefault="00767A78" w:rsidP="00887C4F">
            <w:pPr>
              <w:pStyle w:val="Tnumber"/>
              <w:keepNext/>
            </w:pPr>
            <w:r w:rsidRPr="00862438">
              <w:t>553</w:t>
            </w:r>
          </w:p>
        </w:tc>
        <w:tc>
          <w:tcPr>
            <w:tcW w:w="1134" w:type="dxa"/>
            <w:tcBorders>
              <w:top w:val="single" w:sz="2" w:space="0" w:color="000000"/>
              <w:left w:val="single" w:sz="24" w:space="0" w:color="FFFFFF"/>
              <w:bottom w:val="single" w:sz="2" w:space="0" w:color="000000"/>
            </w:tcBorders>
            <w:noWrap/>
          </w:tcPr>
          <w:p w14:paraId="63FDE794" w14:textId="77777777" w:rsidR="00767A78" w:rsidRPr="00862438" w:rsidRDefault="00767A78" w:rsidP="00887C4F">
            <w:pPr>
              <w:pStyle w:val="Tnumber"/>
              <w:keepNext/>
            </w:pPr>
            <w:r w:rsidRPr="00862438">
              <w:t>+3.2</w:t>
            </w:r>
          </w:p>
        </w:tc>
      </w:tr>
      <w:tr w:rsidR="00767A78" w:rsidRPr="00862438" w14:paraId="7B984B5F" w14:textId="77777777" w:rsidTr="00767A78">
        <w:tc>
          <w:tcPr>
            <w:tcW w:w="3402" w:type="dxa"/>
            <w:tcBorders>
              <w:top w:val="single" w:sz="2" w:space="0" w:color="000000"/>
              <w:bottom w:val="single" w:sz="2" w:space="0" w:color="000000"/>
              <w:right w:val="single" w:sz="24" w:space="0" w:color="FFFFFF"/>
            </w:tcBorders>
            <w:noWrap/>
          </w:tcPr>
          <w:p w14:paraId="7C1A0FF5" w14:textId="77777777" w:rsidR="00767A78" w:rsidRPr="00862438" w:rsidRDefault="00767A78" w:rsidP="00887C4F">
            <w:pPr>
              <w:pStyle w:val="Ttext"/>
              <w:keepNext/>
            </w:pPr>
            <w:r w:rsidRPr="00862438">
              <w:t>EBIT</w:t>
            </w:r>
          </w:p>
        </w:tc>
        <w:tc>
          <w:tcPr>
            <w:tcW w:w="1134" w:type="dxa"/>
            <w:tcBorders>
              <w:top w:val="single" w:sz="2" w:space="0" w:color="000000"/>
              <w:left w:val="single" w:sz="24" w:space="0" w:color="FFFFFF"/>
              <w:bottom w:val="single" w:sz="2" w:space="0" w:color="000000"/>
              <w:right w:val="single" w:sz="24" w:space="0" w:color="FFFFFF"/>
            </w:tcBorders>
            <w:noWrap/>
          </w:tcPr>
          <w:p w14:paraId="0EE3136E" w14:textId="77777777" w:rsidR="00767A78" w:rsidRPr="00862438" w:rsidRDefault="00767A78" w:rsidP="00887C4F">
            <w:pPr>
              <w:pStyle w:val="Tnumber"/>
              <w:keepNext/>
            </w:pPr>
            <w:r w:rsidRPr="00862438">
              <w:t>39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86D2C51" w14:textId="77777777" w:rsidR="00767A78" w:rsidRPr="00862438" w:rsidRDefault="00767A78" w:rsidP="00887C4F">
            <w:pPr>
              <w:pStyle w:val="Tnumber"/>
              <w:keepNext/>
            </w:pPr>
            <w:r w:rsidRPr="00862438">
              <w:t>143</w:t>
            </w:r>
          </w:p>
        </w:tc>
        <w:tc>
          <w:tcPr>
            <w:tcW w:w="1134" w:type="dxa"/>
            <w:tcBorders>
              <w:top w:val="single" w:sz="2" w:space="0" w:color="000000"/>
              <w:left w:val="single" w:sz="24" w:space="0" w:color="FFFFFF"/>
              <w:bottom w:val="single" w:sz="2" w:space="0" w:color="000000"/>
              <w:right w:val="single" w:sz="24" w:space="0" w:color="FFFFFF"/>
            </w:tcBorders>
            <w:noWrap/>
          </w:tcPr>
          <w:p w14:paraId="4F49F298" w14:textId="77777777" w:rsidR="00767A78" w:rsidRPr="00862438" w:rsidRDefault="00767A78" w:rsidP="00887C4F">
            <w:pPr>
              <w:pStyle w:val="Tnumber"/>
              <w:keepNext/>
            </w:pPr>
            <w:r w:rsidRPr="00862438">
              <w:t>&gt;200</w:t>
            </w:r>
          </w:p>
        </w:tc>
        <w:tc>
          <w:tcPr>
            <w:tcW w:w="1134" w:type="dxa"/>
            <w:tcBorders>
              <w:top w:val="single" w:sz="2" w:space="0" w:color="000000"/>
              <w:left w:val="single" w:sz="24" w:space="0" w:color="FFFFFF"/>
              <w:bottom w:val="single" w:sz="2" w:space="0" w:color="000000"/>
              <w:right w:val="single" w:sz="24" w:space="0" w:color="FFFFFF"/>
            </w:tcBorders>
            <w:noWrap/>
          </w:tcPr>
          <w:p w14:paraId="62ECA2E2" w14:textId="77777777" w:rsidR="00767A78" w:rsidRPr="00862438" w:rsidRDefault="00767A78" w:rsidP="00887C4F">
            <w:pPr>
              <w:pStyle w:val="Tnumber"/>
              <w:keepNext/>
            </w:pPr>
            <w:r w:rsidRPr="00862438">
              <w:t>300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B31A6FF" w14:textId="77777777" w:rsidR="00767A78" w:rsidRPr="00862438" w:rsidRDefault="00767A78" w:rsidP="00887C4F">
            <w:pPr>
              <w:pStyle w:val="Tnumber"/>
              <w:keepNext/>
            </w:pPr>
            <w:r w:rsidRPr="00862438">
              <w:t>332</w:t>
            </w:r>
          </w:p>
        </w:tc>
        <w:tc>
          <w:tcPr>
            <w:tcW w:w="1134" w:type="dxa"/>
            <w:tcBorders>
              <w:top w:val="single" w:sz="2" w:space="0" w:color="000000"/>
              <w:left w:val="single" w:sz="24" w:space="0" w:color="FFFFFF"/>
              <w:bottom w:val="single" w:sz="2" w:space="0" w:color="000000"/>
            </w:tcBorders>
            <w:noWrap/>
          </w:tcPr>
          <w:p w14:paraId="2AE057E2" w14:textId="77777777" w:rsidR="00767A78" w:rsidRPr="00862438" w:rsidRDefault="00767A78" w:rsidP="00887C4F">
            <w:pPr>
              <w:pStyle w:val="Tnumber"/>
              <w:keepNext/>
            </w:pPr>
            <w:r w:rsidRPr="00862438">
              <w:t>+10.7</w:t>
            </w:r>
          </w:p>
        </w:tc>
      </w:tr>
      <w:tr w:rsidR="00767A78" w:rsidRPr="00862438" w14:paraId="12095C91" w14:textId="77777777" w:rsidTr="00767A78">
        <w:tc>
          <w:tcPr>
            <w:tcW w:w="3402" w:type="dxa"/>
            <w:tcBorders>
              <w:top w:val="single" w:sz="2" w:space="0" w:color="000000"/>
              <w:bottom w:val="single" w:sz="2" w:space="0" w:color="000000"/>
              <w:right w:val="single" w:sz="24" w:space="0" w:color="FFFFFF"/>
            </w:tcBorders>
          </w:tcPr>
          <w:p w14:paraId="1C906649" w14:textId="77777777" w:rsidR="00767A78" w:rsidRPr="00862438" w:rsidRDefault="00767A78" w:rsidP="00887C4F">
            <w:pPr>
              <w:pStyle w:val="Ttext"/>
              <w:keepNext/>
            </w:pPr>
            <w:r w:rsidRPr="00862438">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6AB0D236" w14:textId="77777777" w:rsidR="00767A78" w:rsidRPr="00862438" w:rsidRDefault="00767A78" w:rsidP="00887C4F">
            <w:pPr>
              <w:pStyle w:val="Tnumber"/>
              <w:keepNext/>
            </w:pPr>
            <w:r w:rsidRPr="00862438">
              <w:t>120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C7D5DB3" w14:textId="77777777" w:rsidR="00767A78" w:rsidRPr="00862438" w:rsidRDefault="00767A78" w:rsidP="00887C4F">
            <w:pPr>
              <w:pStyle w:val="Tnumber"/>
              <w:keepNext/>
            </w:pPr>
            <w:r w:rsidRPr="00862438">
              <w:t>117</w:t>
            </w:r>
          </w:p>
        </w:tc>
        <w:tc>
          <w:tcPr>
            <w:tcW w:w="1134" w:type="dxa"/>
            <w:tcBorders>
              <w:top w:val="single" w:sz="2" w:space="0" w:color="000000"/>
              <w:left w:val="single" w:sz="24" w:space="0" w:color="FFFFFF"/>
              <w:bottom w:val="single" w:sz="2" w:space="0" w:color="000000"/>
              <w:right w:val="single" w:sz="24" w:space="0" w:color="FFFFFF"/>
            </w:tcBorders>
          </w:tcPr>
          <w:p w14:paraId="10806E14" w14:textId="77777777" w:rsidR="00767A78" w:rsidRPr="00862438" w:rsidRDefault="00767A78" w:rsidP="00887C4F">
            <w:pPr>
              <w:pStyle w:val="Tnumber"/>
              <w:keepNext/>
            </w:pPr>
            <w:r w:rsidRPr="00862438">
              <w:t>–2.5</w:t>
            </w:r>
          </w:p>
        </w:tc>
        <w:tc>
          <w:tcPr>
            <w:tcW w:w="1134" w:type="dxa"/>
            <w:tcBorders>
              <w:top w:val="single" w:sz="2" w:space="0" w:color="000000"/>
              <w:left w:val="single" w:sz="24" w:space="0" w:color="FFFFFF"/>
              <w:bottom w:val="single" w:sz="2" w:space="0" w:color="000000"/>
              <w:right w:val="single" w:sz="24" w:space="0" w:color="FFFFFF"/>
            </w:tcBorders>
            <w:noWrap/>
          </w:tcPr>
          <w:p w14:paraId="2A0BA4C6" w14:textId="77777777" w:rsidR="00767A78" w:rsidRPr="00862438" w:rsidRDefault="00767A78" w:rsidP="00887C4F">
            <w:pPr>
              <w:pStyle w:val="Tnumber"/>
              <w:keepNext/>
            </w:pPr>
            <w:r w:rsidRPr="00862438">
              <w:t>404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BBCF98D" w14:textId="77777777" w:rsidR="00767A78" w:rsidRPr="00862438" w:rsidRDefault="00767A78" w:rsidP="00887C4F">
            <w:pPr>
              <w:pStyle w:val="Tnumber"/>
              <w:keepNext/>
            </w:pPr>
            <w:r w:rsidRPr="00862438">
              <w:t>327</w:t>
            </w:r>
          </w:p>
        </w:tc>
        <w:tc>
          <w:tcPr>
            <w:tcW w:w="1134" w:type="dxa"/>
            <w:tcBorders>
              <w:top w:val="single" w:sz="2" w:space="0" w:color="000000"/>
              <w:left w:val="single" w:sz="24" w:space="0" w:color="FFFFFF"/>
              <w:bottom w:val="single" w:sz="2" w:space="0" w:color="000000"/>
            </w:tcBorders>
          </w:tcPr>
          <w:p w14:paraId="3BBE63D9" w14:textId="77777777" w:rsidR="00767A78" w:rsidRPr="00862438" w:rsidRDefault="00767A78" w:rsidP="00887C4F">
            <w:pPr>
              <w:pStyle w:val="Tnumber"/>
              <w:keepNext/>
            </w:pPr>
            <w:r w:rsidRPr="00862438">
              <w:t>–19.1</w:t>
            </w:r>
          </w:p>
        </w:tc>
      </w:tr>
      <w:tr w:rsidR="00767A78" w:rsidRPr="00862438" w14:paraId="04615B00" w14:textId="77777777" w:rsidTr="00767A78">
        <w:tc>
          <w:tcPr>
            <w:tcW w:w="3402" w:type="dxa"/>
            <w:tcBorders>
              <w:top w:val="single" w:sz="2" w:space="0" w:color="000000"/>
              <w:bottom w:val="single" w:sz="2" w:space="0" w:color="000000"/>
              <w:right w:val="single" w:sz="24" w:space="0" w:color="FFFFFF"/>
            </w:tcBorders>
          </w:tcPr>
          <w:p w14:paraId="0C30ED43" w14:textId="77777777" w:rsidR="00767A78" w:rsidRPr="00862438" w:rsidRDefault="00767A78" w:rsidP="00887C4F">
            <w:pPr>
              <w:pStyle w:val="TDummy"/>
              <w:keepNext/>
            </w:pPr>
            <w:bookmarkStart w:id="18" w:name="RANGE!L52:T52"/>
            <w:r w:rsidRPr="00862438">
              <w:t> </w:t>
            </w:r>
            <w:bookmarkEnd w:id="18"/>
          </w:p>
        </w:tc>
        <w:tc>
          <w:tcPr>
            <w:tcW w:w="1134" w:type="dxa"/>
            <w:tcBorders>
              <w:top w:val="single" w:sz="2" w:space="0" w:color="000000"/>
              <w:left w:val="single" w:sz="24" w:space="0" w:color="FFFFFF"/>
              <w:bottom w:val="single" w:sz="2" w:space="0" w:color="000000"/>
              <w:right w:val="single" w:sz="24" w:space="0" w:color="FFFFFF"/>
            </w:tcBorders>
          </w:tcPr>
          <w:p w14:paraId="4C0ADADC"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77B1A9D"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tcPr>
          <w:p w14:paraId="28B8DA12"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5692A0A1"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2293440" w14:textId="77777777" w:rsidR="00767A78" w:rsidRPr="00862438" w:rsidRDefault="00767A78" w:rsidP="00887C4F">
            <w:pPr>
              <w:pStyle w:val="TDummy"/>
              <w:keepNext/>
            </w:pPr>
            <w:r w:rsidRPr="00862438">
              <w:t> </w:t>
            </w:r>
          </w:p>
        </w:tc>
        <w:tc>
          <w:tcPr>
            <w:tcW w:w="1134" w:type="dxa"/>
            <w:tcBorders>
              <w:top w:val="single" w:sz="2" w:space="0" w:color="000000"/>
              <w:left w:val="single" w:sz="24" w:space="0" w:color="FFFFFF"/>
              <w:bottom w:val="single" w:sz="2" w:space="0" w:color="000000"/>
            </w:tcBorders>
          </w:tcPr>
          <w:p w14:paraId="11C66D72" w14:textId="77777777" w:rsidR="00767A78" w:rsidRPr="00862438" w:rsidRDefault="00767A78" w:rsidP="00887C4F">
            <w:pPr>
              <w:pStyle w:val="TDummy"/>
              <w:keepNext/>
            </w:pPr>
            <w:r w:rsidRPr="00862438">
              <w:t> </w:t>
            </w:r>
          </w:p>
        </w:tc>
      </w:tr>
      <w:tr w:rsidR="00767A78" w:rsidRPr="00862438" w14:paraId="3CC31F6A" w14:textId="77777777" w:rsidTr="00767A78">
        <w:tc>
          <w:tcPr>
            <w:tcW w:w="3402" w:type="dxa"/>
            <w:tcBorders>
              <w:top w:val="single" w:sz="2" w:space="0" w:color="000000"/>
              <w:bottom w:val="single" w:sz="2" w:space="0" w:color="000000"/>
              <w:right w:val="single" w:sz="24" w:space="0" w:color="FFFFFF"/>
            </w:tcBorders>
            <w:shd w:val="clear" w:color="000000" w:fill="80CFF2"/>
          </w:tcPr>
          <w:p w14:paraId="25ECC566" w14:textId="77777777" w:rsidR="00767A78" w:rsidRPr="00862438" w:rsidRDefault="00767A78" w:rsidP="00887C4F">
            <w:pPr>
              <w:pStyle w:val="Ttextbold"/>
              <w:keepNext/>
            </w:pPr>
            <w:bookmarkStart w:id="19" w:name="RANGE!L53:T53"/>
            <w:r w:rsidRPr="00862438">
              <w:t>Coatings, Adhesives, Specialties</w:t>
            </w:r>
            <w:bookmarkEnd w:id="19"/>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075DAEF4"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00D7266"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0EEA8FE5"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noWrap/>
          </w:tcPr>
          <w:p w14:paraId="579EF9B0"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8DDC94E" w14:textId="77777777" w:rsidR="00767A78" w:rsidRPr="00862438" w:rsidRDefault="00767A78" w:rsidP="00887C4F">
            <w:pPr>
              <w:pStyle w:val="Tnumberbold"/>
              <w:keepNext/>
            </w:pPr>
            <w:r w:rsidRPr="00862438">
              <w:t> </w:t>
            </w:r>
          </w:p>
        </w:tc>
        <w:tc>
          <w:tcPr>
            <w:tcW w:w="1134" w:type="dxa"/>
            <w:tcBorders>
              <w:top w:val="single" w:sz="2" w:space="0" w:color="000000"/>
              <w:left w:val="single" w:sz="24" w:space="0" w:color="FFFFFF"/>
              <w:bottom w:val="single" w:sz="2" w:space="0" w:color="000000"/>
            </w:tcBorders>
            <w:shd w:val="clear" w:color="000000" w:fill="80CFF2"/>
            <w:noWrap/>
          </w:tcPr>
          <w:p w14:paraId="3F806C2F" w14:textId="77777777" w:rsidR="00767A78" w:rsidRPr="00862438" w:rsidRDefault="00767A78" w:rsidP="00887C4F">
            <w:pPr>
              <w:pStyle w:val="Tnumberbold"/>
              <w:keepNext/>
            </w:pPr>
            <w:r w:rsidRPr="00862438">
              <w:t> </w:t>
            </w:r>
          </w:p>
        </w:tc>
      </w:tr>
      <w:tr w:rsidR="00767A78" w:rsidRPr="00862438" w14:paraId="289FF3A2" w14:textId="77777777" w:rsidTr="00767A78">
        <w:tc>
          <w:tcPr>
            <w:tcW w:w="3402" w:type="dxa"/>
            <w:tcBorders>
              <w:top w:val="single" w:sz="2" w:space="0" w:color="000000"/>
              <w:bottom w:val="single" w:sz="2" w:space="0" w:color="000000"/>
              <w:right w:val="single" w:sz="24" w:space="0" w:color="FFFFFF"/>
            </w:tcBorders>
            <w:noWrap/>
          </w:tcPr>
          <w:p w14:paraId="24990545" w14:textId="77777777" w:rsidR="00767A78" w:rsidRPr="00862438" w:rsidRDefault="00767A78" w:rsidP="00887C4F">
            <w:pPr>
              <w:pStyle w:val="Ttext"/>
              <w:keepNext/>
            </w:pPr>
            <w:r w:rsidRPr="00862438">
              <w:t>Core Volume Growth</w:t>
            </w:r>
          </w:p>
        </w:tc>
        <w:tc>
          <w:tcPr>
            <w:tcW w:w="1134" w:type="dxa"/>
            <w:tcBorders>
              <w:top w:val="single" w:sz="2" w:space="0" w:color="000000"/>
              <w:left w:val="single" w:sz="24" w:space="0" w:color="FFFFFF"/>
              <w:bottom w:val="single" w:sz="2" w:space="0" w:color="000000"/>
              <w:right w:val="single" w:sz="24" w:space="0" w:color="FFFFFF"/>
            </w:tcBorders>
            <w:noWrap/>
          </w:tcPr>
          <w:p w14:paraId="1D6BE0CA" w14:textId="77777777" w:rsidR="00767A78" w:rsidRPr="00862438" w:rsidRDefault="00767A78" w:rsidP="00887C4F">
            <w:pPr>
              <w:pStyle w:val="Tnumber"/>
              <w:keepNext/>
            </w:pPr>
            <w:r w:rsidRPr="00862438">
              <w:t>+6.2%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E9B6C1D" w14:textId="77777777" w:rsidR="00767A78" w:rsidRPr="00862438" w:rsidRDefault="00767A78" w:rsidP="00887C4F">
            <w:pPr>
              <w:pStyle w:val="Tnumber"/>
              <w:keepNext/>
            </w:pPr>
            <w:r w:rsidRPr="00862438">
              <w:t>+2.8%</w:t>
            </w:r>
          </w:p>
        </w:tc>
        <w:tc>
          <w:tcPr>
            <w:tcW w:w="1134" w:type="dxa"/>
            <w:tcBorders>
              <w:top w:val="single" w:sz="2" w:space="0" w:color="000000"/>
              <w:left w:val="single" w:sz="24" w:space="0" w:color="FFFFFF"/>
              <w:bottom w:val="single" w:sz="2" w:space="0" w:color="000000"/>
              <w:right w:val="single" w:sz="24" w:space="0" w:color="FFFFFF"/>
            </w:tcBorders>
            <w:noWrap/>
          </w:tcPr>
          <w:p w14:paraId="3B8F805C"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0B3C0B83" w14:textId="77777777" w:rsidR="00767A78" w:rsidRPr="00862438" w:rsidRDefault="00767A78" w:rsidP="00887C4F">
            <w:pPr>
              <w:pStyle w:val="Tnumber"/>
              <w:keepNext/>
            </w:pPr>
            <w:r w:rsidRPr="00862438">
              <w:t>–1.0%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19925C03" w14:textId="77777777" w:rsidR="00767A78" w:rsidRPr="00862438" w:rsidRDefault="00767A78" w:rsidP="00887C4F">
            <w:pPr>
              <w:pStyle w:val="Tnumber"/>
              <w:keepNext/>
            </w:pPr>
            <w:r w:rsidRPr="00862438">
              <w:t>–8.9%</w:t>
            </w:r>
          </w:p>
        </w:tc>
        <w:tc>
          <w:tcPr>
            <w:tcW w:w="1134" w:type="dxa"/>
            <w:tcBorders>
              <w:top w:val="single" w:sz="2" w:space="0" w:color="000000"/>
              <w:left w:val="single" w:sz="24" w:space="0" w:color="FFFFFF"/>
              <w:bottom w:val="single" w:sz="2" w:space="0" w:color="000000"/>
            </w:tcBorders>
            <w:noWrap/>
          </w:tcPr>
          <w:p w14:paraId="1EE09424" w14:textId="77777777" w:rsidR="00767A78" w:rsidRPr="00862438" w:rsidRDefault="00767A78" w:rsidP="00887C4F">
            <w:pPr>
              <w:pStyle w:val="Tnumber"/>
              <w:keepNext/>
            </w:pPr>
            <w:r w:rsidRPr="00862438">
              <w:t> </w:t>
            </w:r>
          </w:p>
        </w:tc>
      </w:tr>
      <w:tr w:rsidR="00767A78" w:rsidRPr="00862438" w14:paraId="0F20D368" w14:textId="77777777" w:rsidTr="00767A78">
        <w:tc>
          <w:tcPr>
            <w:tcW w:w="3402" w:type="dxa"/>
            <w:tcBorders>
              <w:top w:val="single" w:sz="2" w:space="0" w:color="000000"/>
              <w:bottom w:val="single" w:sz="2" w:space="0" w:color="000000"/>
              <w:right w:val="single" w:sz="24" w:space="0" w:color="FFFFFF"/>
            </w:tcBorders>
            <w:noWrap/>
          </w:tcPr>
          <w:p w14:paraId="1B525D6E" w14:textId="77777777" w:rsidR="00767A78" w:rsidRPr="00862438" w:rsidRDefault="00767A78" w:rsidP="00887C4F">
            <w:pPr>
              <w:pStyle w:val="Ttext"/>
              <w:keepNext/>
            </w:pPr>
            <w:r w:rsidRPr="00862438">
              <w:t>Sales</w:t>
            </w:r>
          </w:p>
        </w:tc>
        <w:tc>
          <w:tcPr>
            <w:tcW w:w="1134" w:type="dxa"/>
            <w:tcBorders>
              <w:top w:val="single" w:sz="2" w:space="0" w:color="000000"/>
              <w:left w:val="single" w:sz="24" w:space="0" w:color="FFFFFF"/>
              <w:bottom w:val="single" w:sz="2" w:space="0" w:color="000000"/>
              <w:right w:val="single" w:sz="24" w:space="0" w:color="FFFFFF"/>
            </w:tcBorders>
            <w:noWrap/>
          </w:tcPr>
          <w:p w14:paraId="41D6F4B1" w14:textId="77777777" w:rsidR="00767A78" w:rsidRPr="00862438" w:rsidRDefault="00767A78" w:rsidP="00887C4F">
            <w:pPr>
              <w:pStyle w:val="Tnumber"/>
              <w:keepNext/>
            </w:pPr>
            <w:r w:rsidRPr="00862438">
              <w:t>533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E75F8D3" w14:textId="77777777" w:rsidR="00767A78" w:rsidRPr="00862438" w:rsidRDefault="00767A78" w:rsidP="00887C4F">
            <w:pPr>
              <w:pStyle w:val="Tnumber"/>
              <w:keepNext/>
            </w:pPr>
            <w:r w:rsidRPr="00862438">
              <w:t>529</w:t>
            </w:r>
          </w:p>
        </w:tc>
        <w:tc>
          <w:tcPr>
            <w:tcW w:w="1134" w:type="dxa"/>
            <w:tcBorders>
              <w:top w:val="single" w:sz="2" w:space="0" w:color="000000"/>
              <w:left w:val="single" w:sz="24" w:space="0" w:color="FFFFFF"/>
              <w:bottom w:val="single" w:sz="2" w:space="0" w:color="000000"/>
              <w:right w:val="single" w:sz="24" w:space="0" w:color="FFFFFF"/>
            </w:tcBorders>
            <w:noWrap/>
          </w:tcPr>
          <w:p w14:paraId="3ED79E47" w14:textId="77777777" w:rsidR="00767A78" w:rsidRPr="00862438" w:rsidRDefault="00767A78" w:rsidP="00887C4F">
            <w:pPr>
              <w:pStyle w:val="Tnumber"/>
              <w:keepNext/>
            </w:pPr>
            <w:r w:rsidRPr="00862438">
              <w:t>–0.8</w:t>
            </w:r>
          </w:p>
        </w:tc>
        <w:tc>
          <w:tcPr>
            <w:tcW w:w="1134" w:type="dxa"/>
            <w:tcBorders>
              <w:top w:val="single" w:sz="2" w:space="0" w:color="000000"/>
              <w:left w:val="single" w:sz="24" w:space="0" w:color="FFFFFF"/>
              <w:bottom w:val="single" w:sz="2" w:space="0" w:color="000000"/>
              <w:right w:val="single" w:sz="24" w:space="0" w:color="FFFFFF"/>
            </w:tcBorders>
            <w:noWrap/>
          </w:tcPr>
          <w:p w14:paraId="70DFEBB9" w14:textId="77777777" w:rsidR="00767A78" w:rsidRPr="00862438" w:rsidRDefault="00767A78" w:rsidP="00887C4F">
            <w:pPr>
              <w:pStyle w:val="Tnumber"/>
              <w:keepNext/>
            </w:pPr>
            <w:r w:rsidRPr="00862438">
              <w:t>2,369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963018E" w14:textId="77777777" w:rsidR="00767A78" w:rsidRPr="00862438" w:rsidRDefault="00767A78" w:rsidP="00887C4F">
            <w:pPr>
              <w:pStyle w:val="Tnumber"/>
              <w:keepNext/>
            </w:pPr>
            <w:r w:rsidRPr="00862438">
              <w:t>2,039</w:t>
            </w:r>
          </w:p>
        </w:tc>
        <w:tc>
          <w:tcPr>
            <w:tcW w:w="1134" w:type="dxa"/>
            <w:tcBorders>
              <w:top w:val="single" w:sz="2" w:space="0" w:color="000000"/>
              <w:left w:val="single" w:sz="24" w:space="0" w:color="FFFFFF"/>
              <w:bottom w:val="single" w:sz="2" w:space="0" w:color="000000"/>
            </w:tcBorders>
            <w:noWrap/>
          </w:tcPr>
          <w:p w14:paraId="463F8D69" w14:textId="77777777" w:rsidR="00767A78" w:rsidRPr="00862438" w:rsidRDefault="00767A78" w:rsidP="00887C4F">
            <w:pPr>
              <w:pStyle w:val="Tnumber"/>
              <w:keepNext/>
            </w:pPr>
            <w:r w:rsidRPr="00862438">
              <w:t>–13.9</w:t>
            </w:r>
          </w:p>
        </w:tc>
      </w:tr>
      <w:tr w:rsidR="00767A78" w:rsidRPr="00862438" w14:paraId="3DEF2763" w14:textId="77777777" w:rsidTr="00767A78">
        <w:tc>
          <w:tcPr>
            <w:tcW w:w="3402" w:type="dxa"/>
            <w:tcBorders>
              <w:top w:val="single" w:sz="2" w:space="0" w:color="000000"/>
              <w:bottom w:val="single" w:sz="2" w:space="0" w:color="000000"/>
              <w:right w:val="single" w:sz="24" w:space="0" w:color="FFFFFF"/>
            </w:tcBorders>
            <w:noWrap/>
          </w:tcPr>
          <w:p w14:paraId="795B0396" w14:textId="77777777" w:rsidR="00767A78" w:rsidRPr="00862438" w:rsidRDefault="00767A78" w:rsidP="00887C4F">
            <w:pPr>
              <w:pStyle w:val="Ttext"/>
              <w:keepNext/>
            </w:pPr>
            <w:r w:rsidRPr="00862438">
              <w:t>Change in Sales</w:t>
            </w:r>
          </w:p>
        </w:tc>
        <w:tc>
          <w:tcPr>
            <w:tcW w:w="1134" w:type="dxa"/>
            <w:tcBorders>
              <w:top w:val="single" w:sz="2" w:space="0" w:color="000000"/>
              <w:left w:val="single" w:sz="24" w:space="0" w:color="FFFFFF"/>
              <w:bottom w:val="single" w:sz="2" w:space="0" w:color="000000"/>
              <w:right w:val="single" w:sz="24" w:space="0" w:color="FFFFFF"/>
            </w:tcBorders>
            <w:noWrap/>
          </w:tcPr>
          <w:p w14:paraId="33A58449"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FD0A27C"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31F65134"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51960FEE"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4EE07B7"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tcBorders>
            <w:noWrap/>
          </w:tcPr>
          <w:p w14:paraId="3AAA9A53" w14:textId="77777777" w:rsidR="00767A78" w:rsidRPr="00862438" w:rsidRDefault="00767A78" w:rsidP="00887C4F">
            <w:pPr>
              <w:pStyle w:val="Tnumber"/>
              <w:keepNext/>
            </w:pPr>
            <w:r w:rsidRPr="00862438">
              <w:t> </w:t>
            </w:r>
          </w:p>
        </w:tc>
      </w:tr>
      <w:tr w:rsidR="00767A78" w:rsidRPr="00862438" w14:paraId="2DA0F4D7" w14:textId="77777777" w:rsidTr="00767A78">
        <w:tc>
          <w:tcPr>
            <w:tcW w:w="3402" w:type="dxa"/>
            <w:tcBorders>
              <w:top w:val="single" w:sz="2" w:space="0" w:color="000000"/>
              <w:bottom w:val="single" w:sz="2" w:space="0" w:color="000000"/>
              <w:right w:val="single" w:sz="24" w:space="0" w:color="FFFFFF"/>
            </w:tcBorders>
            <w:noWrap/>
          </w:tcPr>
          <w:p w14:paraId="1AC6D483" w14:textId="77777777" w:rsidR="00767A78" w:rsidRPr="00862438" w:rsidRDefault="00767A78" w:rsidP="00887C4F">
            <w:pPr>
              <w:pStyle w:val="Ttextindent1"/>
              <w:keepNext/>
            </w:pPr>
            <w:bookmarkStart w:id="20" w:name="RANGE!L57:L60"/>
            <w:r w:rsidRPr="00862438">
              <w:t>Volume</w:t>
            </w:r>
            <w:bookmarkEnd w:id="20"/>
          </w:p>
        </w:tc>
        <w:tc>
          <w:tcPr>
            <w:tcW w:w="1134" w:type="dxa"/>
            <w:tcBorders>
              <w:top w:val="single" w:sz="2" w:space="0" w:color="000000"/>
              <w:left w:val="single" w:sz="24" w:space="0" w:color="FFFFFF"/>
              <w:bottom w:val="single" w:sz="2" w:space="0" w:color="000000"/>
              <w:right w:val="single" w:sz="24" w:space="0" w:color="FFFFFF"/>
            </w:tcBorders>
            <w:noWrap/>
          </w:tcPr>
          <w:p w14:paraId="58D36D5F" w14:textId="77777777" w:rsidR="00767A78" w:rsidRPr="00862438" w:rsidRDefault="00767A78" w:rsidP="00887C4F">
            <w:pPr>
              <w:pStyle w:val="Tnumber"/>
              <w:keepNext/>
            </w:pPr>
            <w:r w:rsidRPr="00862438">
              <w:t>+0.1%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217AFCD" w14:textId="77777777" w:rsidR="00767A78" w:rsidRPr="00862438" w:rsidRDefault="00767A78" w:rsidP="00887C4F">
            <w:pPr>
              <w:pStyle w:val="Tnumber"/>
              <w:keepNext/>
            </w:pPr>
            <w:r w:rsidRPr="00862438">
              <w:t>+7.5%</w:t>
            </w:r>
          </w:p>
        </w:tc>
        <w:tc>
          <w:tcPr>
            <w:tcW w:w="1134" w:type="dxa"/>
            <w:tcBorders>
              <w:top w:val="single" w:sz="2" w:space="0" w:color="000000"/>
              <w:left w:val="single" w:sz="24" w:space="0" w:color="FFFFFF"/>
              <w:bottom w:val="single" w:sz="2" w:space="0" w:color="000000"/>
              <w:right w:val="single" w:sz="24" w:space="0" w:color="FFFFFF"/>
            </w:tcBorders>
            <w:noWrap/>
          </w:tcPr>
          <w:p w14:paraId="21C02098"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62AF27E1" w14:textId="77777777" w:rsidR="00767A78" w:rsidRPr="00862438" w:rsidRDefault="00767A78" w:rsidP="00887C4F">
            <w:pPr>
              <w:pStyle w:val="Tnumber"/>
              <w:keepNext/>
            </w:pPr>
            <w:r w:rsidRPr="00862438">
              <w:t>–2.1%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499D992" w14:textId="77777777" w:rsidR="00767A78" w:rsidRPr="00862438" w:rsidRDefault="00767A78" w:rsidP="00887C4F">
            <w:pPr>
              <w:pStyle w:val="Tnumber"/>
              <w:keepNext/>
            </w:pPr>
            <w:r w:rsidRPr="00862438">
              <w:t>–9.0%</w:t>
            </w:r>
          </w:p>
        </w:tc>
        <w:tc>
          <w:tcPr>
            <w:tcW w:w="1134" w:type="dxa"/>
            <w:tcBorders>
              <w:top w:val="single" w:sz="2" w:space="0" w:color="000000"/>
              <w:left w:val="single" w:sz="24" w:space="0" w:color="FFFFFF"/>
              <w:bottom w:val="single" w:sz="2" w:space="0" w:color="000000"/>
            </w:tcBorders>
            <w:noWrap/>
          </w:tcPr>
          <w:p w14:paraId="4D3CB963" w14:textId="77777777" w:rsidR="00767A78" w:rsidRPr="00862438" w:rsidRDefault="00767A78" w:rsidP="00887C4F">
            <w:pPr>
              <w:pStyle w:val="Tnumber"/>
              <w:keepNext/>
            </w:pPr>
            <w:r w:rsidRPr="00862438">
              <w:t> </w:t>
            </w:r>
          </w:p>
        </w:tc>
      </w:tr>
      <w:tr w:rsidR="00767A78" w:rsidRPr="00862438" w14:paraId="2E214CCF" w14:textId="77777777" w:rsidTr="00767A78">
        <w:tc>
          <w:tcPr>
            <w:tcW w:w="3402" w:type="dxa"/>
            <w:tcBorders>
              <w:top w:val="single" w:sz="2" w:space="0" w:color="000000"/>
              <w:bottom w:val="single" w:sz="2" w:space="0" w:color="000000"/>
              <w:right w:val="single" w:sz="24" w:space="0" w:color="FFFFFF"/>
            </w:tcBorders>
            <w:noWrap/>
          </w:tcPr>
          <w:p w14:paraId="12DDA8D6" w14:textId="77777777" w:rsidR="00767A78" w:rsidRPr="00862438" w:rsidRDefault="00767A78" w:rsidP="00887C4F">
            <w:pPr>
              <w:pStyle w:val="Ttextindent1"/>
              <w:keepNext/>
            </w:pPr>
            <w:r w:rsidRPr="00862438">
              <w:t>Price</w:t>
            </w:r>
          </w:p>
        </w:tc>
        <w:tc>
          <w:tcPr>
            <w:tcW w:w="1134" w:type="dxa"/>
            <w:tcBorders>
              <w:top w:val="single" w:sz="2" w:space="0" w:color="000000"/>
              <w:left w:val="single" w:sz="24" w:space="0" w:color="FFFFFF"/>
              <w:bottom w:val="single" w:sz="2" w:space="0" w:color="000000"/>
              <w:right w:val="single" w:sz="24" w:space="0" w:color="FFFFFF"/>
            </w:tcBorders>
            <w:noWrap/>
          </w:tcPr>
          <w:p w14:paraId="5CA2CD37" w14:textId="77777777" w:rsidR="00767A78" w:rsidRPr="00862438" w:rsidRDefault="00767A78" w:rsidP="00887C4F">
            <w:pPr>
              <w:pStyle w:val="Tnumber"/>
              <w:keepNext/>
            </w:pPr>
            <w:r w:rsidRPr="00862438">
              <w:t>–4.2%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6CA7AF03" w14:textId="77777777" w:rsidR="00767A78" w:rsidRPr="00862438" w:rsidRDefault="00767A78" w:rsidP="00887C4F">
            <w:pPr>
              <w:pStyle w:val="Tnumber"/>
              <w:keepNext/>
            </w:pPr>
            <w:r w:rsidRPr="00862438">
              <w:t>–4.9%</w:t>
            </w:r>
          </w:p>
        </w:tc>
        <w:tc>
          <w:tcPr>
            <w:tcW w:w="1134" w:type="dxa"/>
            <w:tcBorders>
              <w:top w:val="single" w:sz="2" w:space="0" w:color="000000"/>
              <w:left w:val="single" w:sz="24" w:space="0" w:color="FFFFFF"/>
              <w:bottom w:val="single" w:sz="2" w:space="0" w:color="000000"/>
              <w:right w:val="single" w:sz="24" w:space="0" w:color="FFFFFF"/>
            </w:tcBorders>
            <w:noWrap/>
          </w:tcPr>
          <w:p w14:paraId="77F205D7"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1AD6FDC5" w14:textId="77777777" w:rsidR="00767A78" w:rsidRPr="00862438" w:rsidRDefault="00767A78" w:rsidP="00887C4F">
            <w:pPr>
              <w:pStyle w:val="Tnumber"/>
              <w:keepNext/>
            </w:pPr>
            <w:r w:rsidRPr="00862438">
              <w:t>–1.1%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4D2415D" w14:textId="77777777" w:rsidR="00767A78" w:rsidRPr="00862438" w:rsidRDefault="00767A78" w:rsidP="00887C4F">
            <w:pPr>
              <w:pStyle w:val="Tnumber"/>
              <w:keepNext/>
            </w:pPr>
            <w:r w:rsidRPr="00862438">
              <w:t>–4.2%</w:t>
            </w:r>
          </w:p>
        </w:tc>
        <w:tc>
          <w:tcPr>
            <w:tcW w:w="1134" w:type="dxa"/>
            <w:tcBorders>
              <w:top w:val="single" w:sz="2" w:space="0" w:color="000000"/>
              <w:left w:val="single" w:sz="24" w:space="0" w:color="FFFFFF"/>
              <w:bottom w:val="single" w:sz="2" w:space="0" w:color="000000"/>
            </w:tcBorders>
            <w:noWrap/>
          </w:tcPr>
          <w:p w14:paraId="51225B9C" w14:textId="77777777" w:rsidR="00767A78" w:rsidRPr="00862438" w:rsidRDefault="00767A78" w:rsidP="00887C4F">
            <w:pPr>
              <w:pStyle w:val="Tnumber"/>
              <w:keepNext/>
            </w:pPr>
            <w:r w:rsidRPr="00862438">
              <w:t> </w:t>
            </w:r>
          </w:p>
        </w:tc>
      </w:tr>
      <w:tr w:rsidR="00767A78" w:rsidRPr="00862438" w14:paraId="228306EB" w14:textId="77777777" w:rsidTr="00767A78">
        <w:tc>
          <w:tcPr>
            <w:tcW w:w="3402" w:type="dxa"/>
            <w:tcBorders>
              <w:top w:val="single" w:sz="2" w:space="0" w:color="000000"/>
              <w:bottom w:val="single" w:sz="2" w:space="0" w:color="000000"/>
              <w:right w:val="single" w:sz="24" w:space="0" w:color="FFFFFF"/>
            </w:tcBorders>
            <w:noWrap/>
          </w:tcPr>
          <w:p w14:paraId="4E8C7292" w14:textId="77777777" w:rsidR="00767A78" w:rsidRPr="00862438" w:rsidRDefault="00767A78" w:rsidP="00887C4F">
            <w:pPr>
              <w:pStyle w:val="Ttextindent1"/>
              <w:keepNext/>
            </w:pPr>
            <w:r w:rsidRPr="00862438">
              <w:t>Currency</w:t>
            </w:r>
          </w:p>
        </w:tc>
        <w:tc>
          <w:tcPr>
            <w:tcW w:w="1134" w:type="dxa"/>
            <w:tcBorders>
              <w:top w:val="single" w:sz="2" w:space="0" w:color="000000"/>
              <w:left w:val="single" w:sz="24" w:space="0" w:color="FFFFFF"/>
              <w:bottom w:val="single" w:sz="2" w:space="0" w:color="000000"/>
              <w:right w:val="single" w:sz="24" w:space="0" w:color="FFFFFF"/>
            </w:tcBorders>
            <w:noWrap/>
          </w:tcPr>
          <w:p w14:paraId="7D142EEA" w14:textId="77777777" w:rsidR="00767A78" w:rsidRPr="00862438" w:rsidRDefault="00767A78" w:rsidP="00887C4F">
            <w:pPr>
              <w:pStyle w:val="Tnumber"/>
              <w:keepNext/>
            </w:pPr>
            <w:r w:rsidRPr="00862438">
              <w:t>+1.9%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0A58CC16" w14:textId="77777777" w:rsidR="00767A78" w:rsidRPr="00862438" w:rsidRDefault="00767A78" w:rsidP="00887C4F">
            <w:pPr>
              <w:pStyle w:val="Tnumber"/>
              <w:keepNext/>
            </w:pPr>
            <w:r w:rsidRPr="00862438">
              <w:t>–3.4%</w:t>
            </w:r>
          </w:p>
        </w:tc>
        <w:tc>
          <w:tcPr>
            <w:tcW w:w="1134" w:type="dxa"/>
            <w:tcBorders>
              <w:top w:val="single" w:sz="2" w:space="0" w:color="000000"/>
              <w:left w:val="single" w:sz="24" w:space="0" w:color="FFFFFF"/>
              <w:bottom w:val="single" w:sz="2" w:space="0" w:color="000000"/>
              <w:right w:val="single" w:sz="24" w:space="0" w:color="FFFFFF"/>
            </w:tcBorders>
            <w:noWrap/>
          </w:tcPr>
          <w:p w14:paraId="0B9A0BE3"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2FC6B72B" w14:textId="77777777" w:rsidR="00767A78" w:rsidRPr="00862438" w:rsidRDefault="00767A78" w:rsidP="00887C4F">
            <w:pPr>
              <w:pStyle w:val="Tnumber"/>
              <w:keepNext/>
            </w:pPr>
            <w:r w:rsidRPr="00862438">
              <w:t>+2.3%</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56DACD5" w14:textId="77777777" w:rsidR="00767A78" w:rsidRPr="00862438" w:rsidRDefault="00767A78" w:rsidP="00887C4F">
            <w:pPr>
              <w:pStyle w:val="Tnumber"/>
              <w:keepNext/>
            </w:pPr>
            <w:r w:rsidRPr="00862438">
              <w:t>–1.0%</w:t>
            </w:r>
          </w:p>
        </w:tc>
        <w:tc>
          <w:tcPr>
            <w:tcW w:w="1134" w:type="dxa"/>
            <w:tcBorders>
              <w:top w:val="single" w:sz="2" w:space="0" w:color="000000"/>
              <w:left w:val="single" w:sz="24" w:space="0" w:color="FFFFFF"/>
              <w:bottom w:val="single" w:sz="2" w:space="0" w:color="000000"/>
            </w:tcBorders>
            <w:noWrap/>
          </w:tcPr>
          <w:p w14:paraId="0B8C5AC6" w14:textId="77777777" w:rsidR="00767A78" w:rsidRPr="00862438" w:rsidRDefault="00767A78" w:rsidP="00887C4F">
            <w:pPr>
              <w:pStyle w:val="Tnumber"/>
              <w:keepNext/>
            </w:pPr>
            <w:r w:rsidRPr="00862438">
              <w:t> </w:t>
            </w:r>
          </w:p>
        </w:tc>
      </w:tr>
      <w:tr w:rsidR="00767A78" w:rsidRPr="00862438" w14:paraId="0B82CB23" w14:textId="77777777" w:rsidTr="00767A78">
        <w:tc>
          <w:tcPr>
            <w:tcW w:w="3402" w:type="dxa"/>
            <w:tcBorders>
              <w:top w:val="single" w:sz="2" w:space="0" w:color="000000"/>
              <w:bottom w:val="single" w:sz="2" w:space="0" w:color="000000"/>
              <w:right w:val="single" w:sz="24" w:space="0" w:color="FFFFFF"/>
            </w:tcBorders>
            <w:noWrap/>
          </w:tcPr>
          <w:p w14:paraId="17AD2690" w14:textId="77777777" w:rsidR="00767A78" w:rsidRPr="00862438" w:rsidRDefault="00767A78" w:rsidP="00887C4F">
            <w:pPr>
              <w:pStyle w:val="Ttextindent1"/>
              <w:keepNext/>
            </w:pPr>
            <w:r w:rsidRPr="00862438">
              <w:t>Portfolio</w:t>
            </w:r>
          </w:p>
        </w:tc>
        <w:tc>
          <w:tcPr>
            <w:tcW w:w="1134" w:type="dxa"/>
            <w:tcBorders>
              <w:top w:val="single" w:sz="2" w:space="0" w:color="000000"/>
              <w:left w:val="single" w:sz="24" w:space="0" w:color="FFFFFF"/>
              <w:bottom w:val="single" w:sz="2" w:space="0" w:color="000000"/>
              <w:right w:val="single" w:sz="24" w:space="0" w:color="FFFFFF"/>
            </w:tcBorders>
            <w:noWrap/>
          </w:tcPr>
          <w:p w14:paraId="68AD16D6" w14:textId="77777777" w:rsidR="00767A78" w:rsidRPr="00862438" w:rsidRDefault="00767A78" w:rsidP="00887C4F">
            <w:pPr>
              <w:pStyle w:val="Tnumber"/>
              <w:keepNext/>
            </w:pPr>
            <w:r w:rsidRPr="00862438">
              <w:t>+2.0%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351F63E" w14:textId="77777777" w:rsidR="00767A78" w:rsidRPr="00862438" w:rsidRDefault="00767A78" w:rsidP="00887C4F">
            <w:pPr>
              <w:pStyle w:val="Tnumber"/>
              <w:keepNext/>
            </w:pPr>
            <w:r w:rsidRPr="00862438">
              <w:t>0.0%</w:t>
            </w:r>
          </w:p>
        </w:tc>
        <w:tc>
          <w:tcPr>
            <w:tcW w:w="1134" w:type="dxa"/>
            <w:tcBorders>
              <w:top w:val="single" w:sz="2" w:space="0" w:color="000000"/>
              <w:left w:val="single" w:sz="24" w:space="0" w:color="FFFFFF"/>
              <w:bottom w:val="single" w:sz="2" w:space="0" w:color="000000"/>
              <w:right w:val="single" w:sz="24" w:space="0" w:color="FFFFFF"/>
            </w:tcBorders>
            <w:noWrap/>
          </w:tcPr>
          <w:p w14:paraId="0A6094F3" w14:textId="77777777" w:rsidR="00767A78" w:rsidRPr="00862438" w:rsidRDefault="00767A78" w:rsidP="00887C4F">
            <w:pPr>
              <w:pStyle w:val="Tnumber"/>
              <w:keepNext/>
            </w:pPr>
            <w:r w:rsidRPr="00862438">
              <w:t> </w:t>
            </w:r>
          </w:p>
        </w:tc>
        <w:tc>
          <w:tcPr>
            <w:tcW w:w="1134" w:type="dxa"/>
            <w:tcBorders>
              <w:top w:val="single" w:sz="2" w:space="0" w:color="000000"/>
              <w:left w:val="single" w:sz="24" w:space="0" w:color="FFFFFF"/>
              <w:bottom w:val="single" w:sz="2" w:space="0" w:color="000000"/>
              <w:right w:val="single" w:sz="24" w:space="0" w:color="FFFFFF"/>
            </w:tcBorders>
            <w:noWrap/>
          </w:tcPr>
          <w:p w14:paraId="363EDB63" w14:textId="77777777" w:rsidR="00767A78" w:rsidRPr="00862438" w:rsidRDefault="00767A78" w:rsidP="00887C4F">
            <w:pPr>
              <w:pStyle w:val="Tnumber"/>
              <w:keepNext/>
            </w:pPr>
            <w:r w:rsidRPr="00862438">
              <w:t>+1.2%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247325C8" w14:textId="77777777" w:rsidR="00767A78" w:rsidRPr="00862438" w:rsidRDefault="00767A78" w:rsidP="00887C4F">
            <w:pPr>
              <w:pStyle w:val="Tnumber"/>
              <w:keepNext/>
            </w:pPr>
            <w:r w:rsidRPr="00862438">
              <w:t>+0.3%</w:t>
            </w:r>
          </w:p>
        </w:tc>
        <w:tc>
          <w:tcPr>
            <w:tcW w:w="1134" w:type="dxa"/>
            <w:tcBorders>
              <w:top w:val="single" w:sz="2" w:space="0" w:color="000000"/>
              <w:left w:val="single" w:sz="24" w:space="0" w:color="FFFFFF"/>
              <w:bottom w:val="single" w:sz="2" w:space="0" w:color="000000"/>
            </w:tcBorders>
            <w:noWrap/>
          </w:tcPr>
          <w:p w14:paraId="707D21B3" w14:textId="77777777" w:rsidR="00767A78" w:rsidRPr="00862438" w:rsidRDefault="00767A78" w:rsidP="00887C4F">
            <w:pPr>
              <w:pStyle w:val="Tnumber"/>
              <w:keepNext/>
            </w:pPr>
            <w:r w:rsidRPr="00862438">
              <w:t> </w:t>
            </w:r>
          </w:p>
        </w:tc>
      </w:tr>
      <w:tr w:rsidR="00767A78" w:rsidRPr="00862438" w14:paraId="66E72433" w14:textId="77777777" w:rsidTr="00767A78">
        <w:tc>
          <w:tcPr>
            <w:tcW w:w="3402" w:type="dxa"/>
            <w:tcBorders>
              <w:top w:val="single" w:sz="2" w:space="0" w:color="000000"/>
              <w:bottom w:val="single" w:sz="2" w:space="0" w:color="000000"/>
              <w:right w:val="single" w:sz="24" w:space="0" w:color="FFFFFF"/>
            </w:tcBorders>
            <w:noWrap/>
          </w:tcPr>
          <w:p w14:paraId="33B7C1FA" w14:textId="77777777" w:rsidR="00767A78" w:rsidRPr="00862438" w:rsidRDefault="00767A78" w:rsidP="00887C4F">
            <w:pPr>
              <w:pStyle w:val="Ttext"/>
              <w:keepNext/>
            </w:pPr>
            <w:r w:rsidRPr="00862438">
              <w:t>EBITDA</w:t>
            </w:r>
          </w:p>
        </w:tc>
        <w:tc>
          <w:tcPr>
            <w:tcW w:w="1134" w:type="dxa"/>
            <w:tcBorders>
              <w:top w:val="single" w:sz="2" w:space="0" w:color="000000"/>
              <w:left w:val="single" w:sz="24" w:space="0" w:color="FFFFFF"/>
              <w:bottom w:val="single" w:sz="2" w:space="0" w:color="000000"/>
              <w:right w:val="single" w:sz="24" w:space="0" w:color="FFFFFF"/>
            </w:tcBorders>
            <w:noWrap/>
          </w:tcPr>
          <w:p w14:paraId="2B995981" w14:textId="77777777" w:rsidR="00767A78" w:rsidRPr="00862438" w:rsidRDefault="00767A78" w:rsidP="00887C4F">
            <w:pPr>
              <w:pStyle w:val="Tnumber"/>
              <w:keepNext/>
            </w:pPr>
            <w:r w:rsidRPr="00862438">
              <w:t>62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350B80DB" w14:textId="77777777" w:rsidR="00767A78" w:rsidRPr="00862438" w:rsidRDefault="00767A78" w:rsidP="00887C4F">
            <w:pPr>
              <w:pStyle w:val="Tnumber"/>
              <w:keepNext/>
            </w:pPr>
            <w:r w:rsidRPr="00862438">
              <w:t>52</w:t>
            </w:r>
          </w:p>
        </w:tc>
        <w:tc>
          <w:tcPr>
            <w:tcW w:w="1134" w:type="dxa"/>
            <w:tcBorders>
              <w:top w:val="single" w:sz="2" w:space="0" w:color="000000"/>
              <w:left w:val="single" w:sz="24" w:space="0" w:color="FFFFFF"/>
              <w:bottom w:val="single" w:sz="2" w:space="0" w:color="000000"/>
              <w:right w:val="single" w:sz="24" w:space="0" w:color="FFFFFF"/>
            </w:tcBorders>
            <w:noWrap/>
          </w:tcPr>
          <w:p w14:paraId="155B26FB" w14:textId="77777777" w:rsidR="00767A78" w:rsidRPr="00862438" w:rsidRDefault="00767A78" w:rsidP="00887C4F">
            <w:pPr>
              <w:pStyle w:val="Tnumber"/>
              <w:keepNext/>
            </w:pPr>
            <w:r w:rsidRPr="00862438">
              <w:t>–16.1</w:t>
            </w:r>
          </w:p>
        </w:tc>
        <w:tc>
          <w:tcPr>
            <w:tcW w:w="1134" w:type="dxa"/>
            <w:tcBorders>
              <w:top w:val="single" w:sz="2" w:space="0" w:color="000000"/>
              <w:left w:val="single" w:sz="24" w:space="0" w:color="FFFFFF"/>
              <w:bottom w:val="single" w:sz="2" w:space="0" w:color="000000"/>
              <w:right w:val="single" w:sz="24" w:space="0" w:color="FFFFFF"/>
            </w:tcBorders>
            <w:noWrap/>
          </w:tcPr>
          <w:p w14:paraId="64F3215B" w14:textId="77777777" w:rsidR="00767A78" w:rsidRPr="00862438" w:rsidRDefault="00767A78" w:rsidP="00887C4F">
            <w:pPr>
              <w:pStyle w:val="Tnumber"/>
              <w:keepNext/>
            </w:pPr>
            <w:r w:rsidRPr="00862438">
              <w:t>469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5E538669" w14:textId="77777777" w:rsidR="00767A78" w:rsidRPr="00862438" w:rsidRDefault="00767A78" w:rsidP="00887C4F">
            <w:pPr>
              <w:pStyle w:val="Tnumber"/>
              <w:keepNext/>
            </w:pPr>
            <w:r w:rsidRPr="00862438">
              <w:t>341</w:t>
            </w:r>
          </w:p>
        </w:tc>
        <w:tc>
          <w:tcPr>
            <w:tcW w:w="1134" w:type="dxa"/>
            <w:tcBorders>
              <w:top w:val="single" w:sz="2" w:space="0" w:color="000000"/>
              <w:left w:val="single" w:sz="24" w:space="0" w:color="FFFFFF"/>
              <w:bottom w:val="single" w:sz="2" w:space="0" w:color="000000"/>
            </w:tcBorders>
            <w:noWrap/>
          </w:tcPr>
          <w:p w14:paraId="455848A1" w14:textId="77777777" w:rsidR="00767A78" w:rsidRPr="00862438" w:rsidRDefault="00767A78" w:rsidP="00887C4F">
            <w:pPr>
              <w:pStyle w:val="Tnumber"/>
              <w:keepNext/>
            </w:pPr>
            <w:r w:rsidRPr="00862438">
              <w:t>–27.3</w:t>
            </w:r>
          </w:p>
        </w:tc>
      </w:tr>
      <w:tr w:rsidR="00767A78" w:rsidRPr="00862438" w14:paraId="26A4AC33" w14:textId="77777777" w:rsidTr="00767A78">
        <w:tc>
          <w:tcPr>
            <w:tcW w:w="3402" w:type="dxa"/>
            <w:tcBorders>
              <w:top w:val="single" w:sz="2" w:space="0" w:color="000000"/>
              <w:bottom w:val="single" w:sz="2" w:space="0" w:color="000000"/>
              <w:right w:val="single" w:sz="24" w:space="0" w:color="FFFFFF"/>
            </w:tcBorders>
            <w:noWrap/>
          </w:tcPr>
          <w:p w14:paraId="4C649EF4" w14:textId="77777777" w:rsidR="00767A78" w:rsidRPr="00862438" w:rsidRDefault="00767A78" w:rsidP="00887C4F">
            <w:pPr>
              <w:pStyle w:val="Ttext"/>
              <w:keepNext/>
            </w:pPr>
            <w:r w:rsidRPr="00862438">
              <w:t>EBIT</w:t>
            </w:r>
          </w:p>
        </w:tc>
        <w:tc>
          <w:tcPr>
            <w:tcW w:w="1134" w:type="dxa"/>
            <w:tcBorders>
              <w:top w:val="single" w:sz="2" w:space="0" w:color="000000"/>
              <w:left w:val="single" w:sz="24" w:space="0" w:color="FFFFFF"/>
              <w:bottom w:val="single" w:sz="2" w:space="0" w:color="000000"/>
              <w:right w:val="single" w:sz="24" w:space="0" w:color="FFFFFF"/>
            </w:tcBorders>
            <w:noWrap/>
          </w:tcPr>
          <w:p w14:paraId="4B32DC18" w14:textId="77777777" w:rsidR="00767A78" w:rsidRPr="00862438" w:rsidRDefault="00767A78" w:rsidP="00887C4F">
            <w:pPr>
              <w:pStyle w:val="Tnumber"/>
              <w:keepNext/>
            </w:pPr>
            <w:r w:rsidRPr="00862438">
              <w:t>32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79325C4F" w14:textId="77777777" w:rsidR="00767A78" w:rsidRPr="00862438" w:rsidRDefault="00767A78" w:rsidP="00887C4F">
            <w:pPr>
              <w:pStyle w:val="Tnumber"/>
              <w:keepNext/>
            </w:pPr>
            <w:r w:rsidRPr="00862438">
              <w:t>19</w:t>
            </w:r>
          </w:p>
        </w:tc>
        <w:tc>
          <w:tcPr>
            <w:tcW w:w="1134" w:type="dxa"/>
            <w:tcBorders>
              <w:top w:val="single" w:sz="2" w:space="0" w:color="000000"/>
              <w:left w:val="single" w:sz="24" w:space="0" w:color="FFFFFF"/>
              <w:bottom w:val="single" w:sz="2" w:space="0" w:color="000000"/>
              <w:right w:val="single" w:sz="24" w:space="0" w:color="FFFFFF"/>
            </w:tcBorders>
            <w:noWrap/>
          </w:tcPr>
          <w:p w14:paraId="1C0C2981" w14:textId="77777777" w:rsidR="00767A78" w:rsidRPr="00862438" w:rsidRDefault="00767A78" w:rsidP="00887C4F">
            <w:pPr>
              <w:pStyle w:val="Tnumber"/>
              <w:keepNext/>
            </w:pPr>
            <w:r w:rsidRPr="00862438">
              <w:t>–40.6</w:t>
            </w:r>
          </w:p>
        </w:tc>
        <w:tc>
          <w:tcPr>
            <w:tcW w:w="1134" w:type="dxa"/>
            <w:tcBorders>
              <w:top w:val="single" w:sz="2" w:space="0" w:color="000000"/>
              <w:left w:val="single" w:sz="24" w:space="0" w:color="FFFFFF"/>
              <w:bottom w:val="single" w:sz="2" w:space="0" w:color="000000"/>
              <w:right w:val="single" w:sz="24" w:space="0" w:color="FFFFFF"/>
            </w:tcBorders>
            <w:noWrap/>
          </w:tcPr>
          <w:p w14:paraId="19A0F56F" w14:textId="77777777" w:rsidR="00767A78" w:rsidRPr="00862438" w:rsidRDefault="00767A78" w:rsidP="00887C4F">
            <w:pPr>
              <w:pStyle w:val="Tnumber"/>
              <w:keepNext/>
            </w:pPr>
            <w:r w:rsidRPr="00862438">
              <w:t>352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noWrap/>
          </w:tcPr>
          <w:p w14:paraId="4EF4664F" w14:textId="77777777" w:rsidR="00767A78" w:rsidRPr="00862438" w:rsidRDefault="00767A78" w:rsidP="00887C4F">
            <w:pPr>
              <w:pStyle w:val="Tnumber"/>
              <w:keepNext/>
            </w:pPr>
            <w:r w:rsidRPr="00862438">
              <w:t>215</w:t>
            </w:r>
          </w:p>
        </w:tc>
        <w:tc>
          <w:tcPr>
            <w:tcW w:w="1134" w:type="dxa"/>
            <w:tcBorders>
              <w:top w:val="single" w:sz="2" w:space="0" w:color="000000"/>
              <w:left w:val="single" w:sz="24" w:space="0" w:color="FFFFFF"/>
              <w:bottom w:val="single" w:sz="2" w:space="0" w:color="000000"/>
            </w:tcBorders>
            <w:noWrap/>
          </w:tcPr>
          <w:p w14:paraId="1105CD61" w14:textId="77777777" w:rsidR="00767A78" w:rsidRPr="00862438" w:rsidRDefault="00767A78" w:rsidP="00887C4F">
            <w:pPr>
              <w:pStyle w:val="Tnumber"/>
              <w:keepNext/>
            </w:pPr>
            <w:r w:rsidRPr="00862438">
              <w:t>–38.9</w:t>
            </w:r>
          </w:p>
        </w:tc>
      </w:tr>
      <w:tr w:rsidR="00767A78" w:rsidRPr="00862438" w14:paraId="747C7443" w14:textId="77777777" w:rsidTr="00767A78">
        <w:tc>
          <w:tcPr>
            <w:tcW w:w="3402" w:type="dxa"/>
            <w:tcBorders>
              <w:top w:val="single" w:sz="2" w:space="0" w:color="000000"/>
              <w:right w:val="single" w:sz="24" w:space="0" w:color="FFFFFF"/>
            </w:tcBorders>
          </w:tcPr>
          <w:p w14:paraId="166EEF94" w14:textId="77777777" w:rsidR="00767A78" w:rsidRPr="00862438" w:rsidRDefault="00767A78" w:rsidP="00887C4F">
            <w:pPr>
              <w:pStyle w:val="Ttext"/>
              <w:keepNext/>
            </w:pPr>
            <w:r w:rsidRPr="00862438">
              <w:t>Free Operating Cash Flow</w:t>
            </w:r>
          </w:p>
        </w:tc>
        <w:tc>
          <w:tcPr>
            <w:tcW w:w="1134" w:type="dxa"/>
            <w:tcBorders>
              <w:top w:val="single" w:sz="2" w:space="0" w:color="000000"/>
              <w:left w:val="single" w:sz="24" w:space="0" w:color="FFFFFF"/>
              <w:right w:val="single" w:sz="24" w:space="0" w:color="FFFFFF"/>
            </w:tcBorders>
          </w:tcPr>
          <w:p w14:paraId="38E9CC72" w14:textId="77777777" w:rsidR="00767A78" w:rsidRPr="00862438" w:rsidRDefault="00767A78" w:rsidP="00887C4F">
            <w:pPr>
              <w:pStyle w:val="Tnumber"/>
              <w:keepNext/>
            </w:pPr>
            <w:r w:rsidRPr="00862438">
              <w:t>115</w:t>
            </w:r>
          </w:p>
        </w:tc>
        <w:tc>
          <w:tcPr>
            <w:tcW w:w="1134" w:type="dxa"/>
            <w:tcBorders>
              <w:top w:val="single" w:sz="2" w:space="0" w:color="000000"/>
              <w:left w:val="single" w:sz="24" w:space="0" w:color="FFFFFF"/>
              <w:right w:val="single" w:sz="24" w:space="0" w:color="FFFFFF"/>
            </w:tcBorders>
            <w:shd w:val="clear" w:color="000000" w:fill="D9F1FB"/>
          </w:tcPr>
          <w:p w14:paraId="7C54F66B" w14:textId="77777777" w:rsidR="00767A78" w:rsidRPr="00862438" w:rsidRDefault="00767A78" w:rsidP="00887C4F">
            <w:pPr>
              <w:pStyle w:val="Tnumber"/>
              <w:keepNext/>
            </w:pPr>
            <w:r w:rsidRPr="00862438">
              <w:t>70</w:t>
            </w:r>
          </w:p>
        </w:tc>
        <w:tc>
          <w:tcPr>
            <w:tcW w:w="1134" w:type="dxa"/>
            <w:tcBorders>
              <w:top w:val="single" w:sz="2" w:space="0" w:color="000000"/>
              <w:left w:val="single" w:sz="24" w:space="0" w:color="FFFFFF"/>
              <w:right w:val="single" w:sz="24" w:space="0" w:color="FFFFFF"/>
            </w:tcBorders>
          </w:tcPr>
          <w:p w14:paraId="627E723C" w14:textId="77777777" w:rsidR="00767A78" w:rsidRPr="00862438" w:rsidRDefault="00767A78" w:rsidP="00887C4F">
            <w:pPr>
              <w:pStyle w:val="Tnumber"/>
              <w:keepNext/>
            </w:pPr>
            <w:r w:rsidRPr="00862438">
              <w:t>–39.1</w:t>
            </w:r>
          </w:p>
        </w:tc>
        <w:tc>
          <w:tcPr>
            <w:tcW w:w="1134" w:type="dxa"/>
            <w:tcBorders>
              <w:top w:val="single" w:sz="2" w:space="0" w:color="000000"/>
              <w:left w:val="single" w:sz="24" w:space="0" w:color="FFFFFF"/>
              <w:right w:val="single" w:sz="24" w:space="0" w:color="FFFFFF"/>
            </w:tcBorders>
            <w:noWrap/>
          </w:tcPr>
          <w:p w14:paraId="27F1624E" w14:textId="77777777" w:rsidR="00767A78" w:rsidRPr="00862438" w:rsidRDefault="00767A78" w:rsidP="00887C4F">
            <w:pPr>
              <w:pStyle w:val="Tnumber"/>
              <w:keepNext/>
            </w:pPr>
            <w:r w:rsidRPr="00862438">
              <w:t>191</w:t>
            </w:r>
          </w:p>
        </w:tc>
        <w:tc>
          <w:tcPr>
            <w:tcW w:w="1134" w:type="dxa"/>
            <w:tcBorders>
              <w:top w:val="single" w:sz="2" w:space="0" w:color="000000"/>
              <w:left w:val="single" w:sz="24" w:space="0" w:color="FFFFFF"/>
              <w:right w:val="single" w:sz="24" w:space="0" w:color="FFFFFF"/>
            </w:tcBorders>
            <w:shd w:val="clear" w:color="000000" w:fill="D9F1FB"/>
          </w:tcPr>
          <w:p w14:paraId="7255237F" w14:textId="77777777" w:rsidR="00767A78" w:rsidRPr="00862438" w:rsidRDefault="00767A78" w:rsidP="00887C4F">
            <w:pPr>
              <w:pStyle w:val="Tnumber"/>
              <w:keepNext/>
            </w:pPr>
            <w:r w:rsidRPr="00862438">
              <w:t>189</w:t>
            </w:r>
          </w:p>
        </w:tc>
        <w:tc>
          <w:tcPr>
            <w:tcW w:w="1134" w:type="dxa"/>
            <w:tcBorders>
              <w:top w:val="single" w:sz="2" w:space="0" w:color="000000"/>
              <w:left w:val="single" w:sz="24" w:space="0" w:color="FFFFFF"/>
            </w:tcBorders>
          </w:tcPr>
          <w:p w14:paraId="473FC52F" w14:textId="77777777" w:rsidR="00767A78" w:rsidRPr="00862438" w:rsidRDefault="00767A78" w:rsidP="00887C4F">
            <w:pPr>
              <w:pStyle w:val="Tnumber"/>
              <w:keepNext/>
            </w:pPr>
            <w:r w:rsidRPr="00862438">
              <w:t>–1.0</w:t>
            </w:r>
          </w:p>
        </w:tc>
      </w:tr>
      <w:tr w:rsidR="00767A78" w:rsidRPr="00862438" w14:paraId="702F7CE7" w14:textId="77777777" w:rsidTr="00767A78">
        <w:tc>
          <w:tcPr>
            <w:tcW w:w="3402" w:type="dxa"/>
            <w:tcBorders>
              <w:top w:val="single" w:sz="8" w:space="0" w:color="009FE4"/>
            </w:tcBorders>
            <w:noWrap/>
            <w:vAlign w:val="bottom"/>
          </w:tcPr>
          <w:p w14:paraId="65852686" w14:textId="77777777" w:rsidR="00767A78" w:rsidRPr="00862438" w:rsidRDefault="00767A78" w:rsidP="00887C4F">
            <w:pPr>
              <w:pStyle w:val="TlastRow"/>
              <w:keepNext/>
            </w:pPr>
            <w:r w:rsidRPr="00862438">
              <w:t> </w:t>
            </w:r>
          </w:p>
        </w:tc>
        <w:tc>
          <w:tcPr>
            <w:tcW w:w="1134" w:type="dxa"/>
            <w:tcBorders>
              <w:top w:val="single" w:sz="8" w:space="0" w:color="009FE4"/>
            </w:tcBorders>
            <w:noWrap/>
            <w:vAlign w:val="bottom"/>
          </w:tcPr>
          <w:p w14:paraId="4023CA02" w14:textId="77777777" w:rsidR="00767A78" w:rsidRPr="00862438" w:rsidRDefault="00767A78" w:rsidP="00887C4F">
            <w:pPr>
              <w:pStyle w:val="TlastRow"/>
              <w:keepNext/>
            </w:pPr>
            <w:r w:rsidRPr="00862438">
              <w:t> </w:t>
            </w:r>
          </w:p>
        </w:tc>
        <w:tc>
          <w:tcPr>
            <w:tcW w:w="1134" w:type="dxa"/>
            <w:tcBorders>
              <w:top w:val="single" w:sz="8" w:space="0" w:color="009FE4"/>
            </w:tcBorders>
            <w:noWrap/>
            <w:vAlign w:val="bottom"/>
          </w:tcPr>
          <w:p w14:paraId="380974B6" w14:textId="77777777" w:rsidR="00767A78" w:rsidRPr="00862438" w:rsidRDefault="00767A78" w:rsidP="00887C4F">
            <w:pPr>
              <w:pStyle w:val="TlastRow"/>
              <w:keepNext/>
            </w:pPr>
            <w:r w:rsidRPr="00862438">
              <w:t> </w:t>
            </w:r>
          </w:p>
        </w:tc>
        <w:tc>
          <w:tcPr>
            <w:tcW w:w="1134" w:type="dxa"/>
            <w:tcBorders>
              <w:top w:val="single" w:sz="8" w:space="0" w:color="009FE4"/>
            </w:tcBorders>
            <w:noWrap/>
            <w:vAlign w:val="bottom"/>
          </w:tcPr>
          <w:p w14:paraId="5DCF369E" w14:textId="77777777" w:rsidR="00767A78" w:rsidRPr="00862438" w:rsidRDefault="00767A78" w:rsidP="00887C4F">
            <w:pPr>
              <w:pStyle w:val="TlastRow"/>
              <w:keepNext/>
            </w:pPr>
            <w:r w:rsidRPr="00862438">
              <w:t> </w:t>
            </w:r>
          </w:p>
        </w:tc>
        <w:tc>
          <w:tcPr>
            <w:tcW w:w="1134" w:type="dxa"/>
            <w:tcBorders>
              <w:top w:val="single" w:sz="8" w:space="0" w:color="009FE4"/>
            </w:tcBorders>
            <w:noWrap/>
            <w:vAlign w:val="bottom"/>
          </w:tcPr>
          <w:p w14:paraId="716F36B1" w14:textId="77777777" w:rsidR="00767A78" w:rsidRPr="00862438" w:rsidRDefault="00767A78" w:rsidP="00887C4F">
            <w:pPr>
              <w:pStyle w:val="TlastRow"/>
              <w:keepNext/>
            </w:pPr>
            <w:r w:rsidRPr="00862438">
              <w:t> </w:t>
            </w:r>
          </w:p>
        </w:tc>
        <w:tc>
          <w:tcPr>
            <w:tcW w:w="1134" w:type="dxa"/>
            <w:tcBorders>
              <w:top w:val="single" w:sz="8" w:space="0" w:color="009FE4"/>
            </w:tcBorders>
            <w:noWrap/>
            <w:vAlign w:val="bottom"/>
          </w:tcPr>
          <w:p w14:paraId="529228B3" w14:textId="77777777" w:rsidR="00767A78" w:rsidRPr="00862438" w:rsidRDefault="00767A78" w:rsidP="00887C4F">
            <w:pPr>
              <w:pStyle w:val="TlastRow"/>
              <w:keepNext/>
            </w:pPr>
            <w:r w:rsidRPr="00862438">
              <w:t> </w:t>
            </w:r>
          </w:p>
        </w:tc>
        <w:tc>
          <w:tcPr>
            <w:tcW w:w="1134" w:type="dxa"/>
            <w:tcBorders>
              <w:top w:val="single" w:sz="8" w:space="0" w:color="009FE4"/>
            </w:tcBorders>
            <w:noWrap/>
            <w:vAlign w:val="bottom"/>
          </w:tcPr>
          <w:p w14:paraId="4C30335E" w14:textId="77777777" w:rsidR="00767A78" w:rsidRPr="00862438" w:rsidRDefault="00767A78" w:rsidP="00887C4F">
            <w:pPr>
              <w:pStyle w:val="TlastRow"/>
              <w:keepNext/>
            </w:pPr>
            <w:r w:rsidRPr="00862438">
              <w:t> </w:t>
            </w:r>
          </w:p>
        </w:tc>
      </w:tr>
    </w:tbl>
    <w:p w14:paraId="40F8746B" w14:textId="77777777" w:rsidR="00AA26C9" w:rsidRDefault="00AA26C9" w:rsidP="0003462C">
      <w:pPr>
        <w:spacing w:after="0" w:line="300" w:lineRule="atLeast"/>
        <w:rPr>
          <w:sz w:val="16"/>
          <w:szCs w:val="16"/>
        </w:rPr>
      </w:pPr>
    </w:p>
    <w:sectPr w:rsidR="00AA26C9" w:rsidSect="00CE5C3C">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8652" w14:textId="77777777" w:rsidR="00885415" w:rsidRDefault="00885415" w:rsidP="00B01CE8">
      <w:r>
        <w:separator/>
      </w:r>
    </w:p>
  </w:endnote>
  <w:endnote w:type="continuationSeparator" w:id="0">
    <w:p w14:paraId="752CF2D1" w14:textId="77777777" w:rsidR="00885415" w:rsidRDefault="00885415"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9" w14:textId="77777777" w:rsidR="00887C4F" w:rsidRPr="003A7B52" w:rsidRDefault="00887C4F" w:rsidP="00CE5C3C">
    <w:pPr>
      <w:pStyle w:val="Fuzeile1"/>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3C51283A" w14:textId="77777777" w:rsidR="00887C4F" w:rsidRPr="00D0636E" w:rsidRDefault="00887C4F"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C" w14:textId="77777777" w:rsidR="00887C4F" w:rsidRPr="00B271EE" w:rsidRDefault="00887C4F"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3C51283D" w14:textId="77777777" w:rsidR="00887C4F" w:rsidRPr="00B271EE" w:rsidRDefault="00887C4F"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A82F" w14:textId="77777777" w:rsidR="00885415" w:rsidRDefault="00885415" w:rsidP="00B01CE8">
      <w:r>
        <w:separator/>
      </w:r>
    </w:p>
  </w:footnote>
  <w:footnote w:type="continuationSeparator" w:id="0">
    <w:p w14:paraId="7F153A48" w14:textId="77777777" w:rsidR="00885415" w:rsidRDefault="00885415"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8" w14:textId="77777777" w:rsidR="00887C4F" w:rsidRDefault="00887C4F">
    <w:pPr>
      <w:pStyle w:val="Kopfzeile"/>
    </w:pPr>
    <w:r>
      <w:rPr>
        <w:lang w:eastAsia="en-US"/>
      </w:rPr>
      <mc:AlternateContent>
        <mc:Choice Requires="wps">
          <w:drawing>
            <wp:anchor distT="0" distB="0" distL="114300" distR="114300" simplePos="0" relativeHeight="251670528" behindDoc="0" locked="0" layoutInCell="1" allowOverlap="1" wp14:anchorId="3C51283E" wp14:editId="3C51283F">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C512848" w14:textId="77777777" w:rsidR="00887C4F" w:rsidRPr="00F5386F" w:rsidRDefault="00887C4F"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51283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3C512848" w14:textId="77777777" w:rsidR="00887C4F" w:rsidRPr="00F5386F" w:rsidRDefault="00887C4F"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Press 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3C512840" wp14:editId="3C512841">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283B" w14:textId="77777777" w:rsidR="00887C4F" w:rsidRDefault="00887C4F" w:rsidP="00B01CE8">
    <w:pPr>
      <w:pStyle w:val="Kopfzeile"/>
    </w:pPr>
    <w:r>
      <w:rPr>
        <w:lang w:eastAsia="en-US"/>
      </w:rPr>
      <mc:AlternateContent>
        <mc:Choice Requires="wps">
          <w:drawing>
            <wp:anchor distT="0" distB="0" distL="114300" distR="114300" simplePos="0" relativeHeight="251678720" behindDoc="0" locked="1" layoutInCell="1" allowOverlap="1" wp14:anchorId="3C512842" wp14:editId="3C512843">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C512849" w14:textId="77777777" w:rsidR="00887C4F" w:rsidRPr="007D3CF4" w:rsidRDefault="00887C4F"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12842"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3C512849" w14:textId="77777777" w:rsidR="00887C4F" w:rsidRPr="007D3CF4" w:rsidRDefault="00887C4F"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3C512844" wp14:editId="3C51284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C51284A" w14:textId="77777777" w:rsidR="00887C4F" w:rsidRPr="00FF609E" w:rsidRDefault="00887C4F" w:rsidP="00E62909">
                          <w:pPr>
                            <w:pStyle w:val="MarginalHeadline"/>
                            <w:rPr>
                              <w:lang w:val="en-US"/>
                            </w:rPr>
                          </w:pPr>
                          <w:r>
                            <w:rPr>
                              <w:lang w:val="en-US"/>
                            </w:rPr>
                            <w:t>Leverkusen</w:t>
                          </w:r>
                          <w:r w:rsidRPr="00FF609E">
                            <w:rPr>
                              <w:lang w:val="en-US"/>
                            </w:rPr>
                            <w:t>,</w:t>
                          </w:r>
                        </w:p>
                        <w:p w14:paraId="3C51284B" w14:textId="11CCC1EB" w:rsidR="00887C4F" w:rsidRPr="00FF609E" w:rsidRDefault="00887C4F" w:rsidP="00E62909">
                          <w:pPr>
                            <w:pStyle w:val="MarginalHeadline"/>
                            <w:rPr>
                              <w:lang w:val="en-US"/>
                            </w:rPr>
                          </w:pPr>
                          <w:r>
                            <w:rPr>
                              <w:lang w:val="en-US"/>
                            </w:rPr>
                            <w:t>February 23, 2021</w:t>
                          </w:r>
                        </w:p>
                        <w:p w14:paraId="3C51284C" w14:textId="77777777" w:rsidR="00887C4F" w:rsidRPr="00FF609E" w:rsidRDefault="00887C4F" w:rsidP="00E62909">
                          <w:pPr>
                            <w:pStyle w:val="MarginalHeadline"/>
                            <w:rPr>
                              <w:lang w:val="en-US"/>
                            </w:rPr>
                          </w:pPr>
                        </w:p>
                        <w:p w14:paraId="3C51284D" w14:textId="77777777" w:rsidR="00887C4F" w:rsidRPr="00FF609E" w:rsidRDefault="00887C4F" w:rsidP="00E62909">
                          <w:pPr>
                            <w:pStyle w:val="MarginalHeadline"/>
                            <w:rPr>
                              <w:lang w:val="en-US"/>
                            </w:rPr>
                          </w:pPr>
                        </w:p>
                        <w:p w14:paraId="3C51284E" w14:textId="77777777" w:rsidR="00887C4F" w:rsidRPr="00FF609E" w:rsidRDefault="00887C4F" w:rsidP="001E0514">
                          <w:pPr>
                            <w:pStyle w:val="MarginalHeadline"/>
                            <w:rPr>
                              <w:lang w:val="en-US"/>
                            </w:rPr>
                          </w:pPr>
                          <w:r w:rsidRPr="00FF609E">
                            <w:rPr>
                              <w:lang w:val="en-US"/>
                            </w:rPr>
                            <w:t>Covestro AG</w:t>
                          </w:r>
                        </w:p>
                        <w:p w14:paraId="3C51284F" w14:textId="77777777" w:rsidR="00887C4F" w:rsidRPr="007D3CF4" w:rsidRDefault="00887C4F" w:rsidP="00E62909">
                          <w:pPr>
                            <w:pStyle w:val="MarginalGrey"/>
                            <w:rPr>
                              <w:lang w:val="en-US"/>
                            </w:rPr>
                          </w:pPr>
                          <w:r>
                            <w:rPr>
                              <w:lang w:val="en-US"/>
                            </w:rPr>
                            <w:t>Communications</w:t>
                          </w:r>
                        </w:p>
                        <w:p w14:paraId="3C512850" w14:textId="77777777" w:rsidR="00887C4F" w:rsidRPr="007D3CF4" w:rsidRDefault="00887C4F" w:rsidP="00E62909">
                          <w:pPr>
                            <w:pStyle w:val="MarginalGrey"/>
                            <w:rPr>
                              <w:lang w:val="en-US"/>
                            </w:rPr>
                          </w:pPr>
                          <w:r>
                            <w:rPr>
                              <w:lang w:val="en-US"/>
                            </w:rPr>
                            <w:t>51365 Leverkusen</w:t>
                          </w:r>
                        </w:p>
                        <w:p w14:paraId="3C512851" w14:textId="77777777" w:rsidR="00887C4F" w:rsidRPr="007D3CF4" w:rsidRDefault="00887C4F" w:rsidP="00E62909">
                          <w:pPr>
                            <w:pStyle w:val="MarginalGrey"/>
                            <w:rPr>
                              <w:lang w:val="en-US"/>
                            </w:rPr>
                          </w:pPr>
                          <w:r>
                            <w:rPr>
                              <w:lang w:val="en-US"/>
                            </w:rPr>
                            <w:t>Germany</w:t>
                          </w:r>
                        </w:p>
                        <w:p w14:paraId="3C512852" w14:textId="77777777" w:rsidR="00887C4F" w:rsidRPr="007D3CF4" w:rsidRDefault="00887C4F" w:rsidP="00E62909">
                          <w:pPr>
                            <w:pStyle w:val="MarginalGrey"/>
                            <w:rPr>
                              <w:lang w:val="en-US"/>
                            </w:rPr>
                          </w:pPr>
                        </w:p>
                        <w:p w14:paraId="3C512853" w14:textId="77777777" w:rsidR="00887C4F" w:rsidRPr="007D3CF4" w:rsidRDefault="00887C4F" w:rsidP="00E62909">
                          <w:pPr>
                            <w:pStyle w:val="MarginalSubheadline"/>
                            <w:rPr>
                              <w:lang w:val="en-US"/>
                            </w:rPr>
                          </w:pPr>
                          <w:r>
                            <w:rPr>
                              <w:lang w:val="en-US"/>
                            </w:rPr>
                            <w:t>Contact</w:t>
                          </w:r>
                        </w:p>
                        <w:p w14:paraId="3C512854" w14:textId="644AFC03" w:rsidR="00887C4F" w:rsidRPr="007D3CF4" w:rsidRDefault="00887C4F" w:rsidP="00E62909">
                          <w:pPr>
                            <w:pStyle w:val="MarginalGrey"/>
                          </w:pPr>
                          <w:r>
                            <w:t>Lars Boelke</w:t>
                          </w:r>
                        </w:p>
                        <w:p w14:paraId="3C512855" w14:textId="77777777" w:rsidR="00887C4F" w:rsidRPr="007D3CF4" w:rsidRDefault="00887C4F" w:rsidP="00E62909">
                          <w:pPr>
                            <w:pStyle w:val="MarginalSubheadline"/>
                            <w:rPr>
                              <w:lang w:val="en-US"/>
                            </w:rPr>
                          </w:pPr>
                          <w:r>
                            <w:rPr>
                              <w:lang w:val="en-US"/>
                            </w:rPr>
                            <w:t>Telephone</w:t>
                          </w:r>
                        </w:p>
                        <w:p w14:paraId="3C512856" w14:textId="60F9ED25" w:rsidR="00887C4F" w:rsidRPr="007D3CF4" w:rsidRDefault="00887C4F" w:rsidP="00E62909">
                          <w:pPr>
                            <w:pStyle w:val="MarginalGrey"/>
                            <w:rPr>
                              <w:lang w:val="en-US"/>
                            </w:rPr>
                          </w:pPr>
                          <w:r w:rsidRPr="007D3CF4">
                            <w:rPr>
                              <w:spacing w:val="-20"/>
                              <w:position w:val="6"/>
                              <w:sz w:val="14"/>
                              <w:lang w:val="en-US"/>
                            </w:rPr>
                            <w:t>+</w:t>
                          </w:r>
                          <w:r w:rsidRPr="007D3CF4">
                            <w:rPr>
                              <w:lang w:val="en-US"/>
                            </w:rPr>
                            <w:t xml:space="preserve">49 </w:t>
                          </w:r>
                          <w:r>
                            <w:rPr>
                              <w:lang w:val="en-US"/>
                            </w:rPr>
                            <w:t>1522 8860 494</w:t>
                          </w:r>
                        </w:p>
                        <w:p w14:paraId="3C512857" w14:textId="77777777" w:rsidR="00887C4F" w:rsidRPr="007D3CF4" w:rsidRDefault="00887C4F" w:rsidP="00E62909">
                          <w:pPr>
                            <w:pStyle w:val="MarginalSubheadline"/>
                            <w:rPr>
                              <w:lang w:val="en-US"/>
                            </w:rPr>
                          </w:pPr>
                          <w:r w:rsidRPr="007D3CF4">
                            <w:rPr>
                              <w:lang w:val="en-US"/>
                            </w:rPr>
                            <w:t>Email</w:t>
                          </w:r>
                        </w:p>
                        <w:p w14:paraId="3C512858" w14:textId="2FB19751" w:rsidR="00887C4F" w:rsidRPr="007D3CF4" w:rsidRDefault="00887C4F" w:rsidP="00E62909">
                          <w:pPr>
                            <w:pStyle w:val="MarginalGrey"/>
                            <w:rPr>
                              <w:lang w:val="en-US"/>
                            </w:rPr>
                          </w:pPr>
                          <w:r>
                            <w:rPr>
                              <w:lang w:val="en-US"/>
                            </w:rPr>
                            <w:t>Lars.Boelke</w:t>
                          </w:r>
                        </w:p>
                        <w:p w14:paraId="3C512859" w14:textId="77777777" w:rsidR="00887C4F" w:rsidRPr="007D3CF4" w:rsidRDefault="00887C4F" w:rsidP="00E62909">
                          <w:pPr>
                            <w:pStyle w:val="MarginalGrey"/>
                            <w:rPr>
                              <w:lang w:val="en-US"/>
                            </w:rPr>
                          </w:pPr>
                          <w:r w:rsidRPr="007D3CF4">
                            <w:rPr>
                              <w:lang w:val="en-US"/>
                            </w:rPr>
                            <w:t>@covestro.com</w:t>
                          </w:r>
                        </w:p>
                        <w:p w14:paraId="3C51285A" w14:textId="77777777" w:rsidR="00887C4F" w:rsidRPr="007D3CF4" w:rsidRDefault="00887C4F" w:rsidP="00E62909">
                          <w:pPr>
                            <w:pStyle w:val="MarginalGrey"/>
                            <w:rPr>
                              <w:lang w:val="en-US"/>
                            </w:rPr>
                          </w:pPr>
                        </w:p>
                        <w:p w14:paraId="19A7E910" w14:textId="539A29D7" w:rsidR="00887C4F" w:rsidRPr="00290856" w:rsidRDefault="00887C4F" w:rsidP="0013427B">
                          <w:pPr>
                            <w:pStyle w:val="MarginalGrey"/>
                            <w:rPr>
                              <w:lang w:val="en-US"/>
                            </w:rPr>
                          </w:pPr>
                        </w:p>
                        <w:p w14:paraId="3A594610" w14:textId="77777777" w:rsidR="00887C4F" w:rsidRPr="007D3CF4" w:rsidRDefault="00887C4F" w:rsidP="00EF48F9">
                          <w:pPr>
                            <w:pStyle w:val="MarginalSubheadline"/>
                            <w:rPr>
                              <w:lang w:val="en-US"/>
                            </w:rPr>
                          </w:pPr>
                          <w:r>
                            <w:rPr>
                              <w:lang w:val="en-US"/>
                            </w:rPr>
                            <w:t>Contact</w:t>
                          </w:r>
                        </w:p>
                        <w:p w14:paraId="0DE1B466" w14:textId="3522DD7E" w:rsidR="00887C4F" w:rsidRPr="007D3CF4" w:rsidRDefault="00887C4F" w:rsidP="00EF48F9">
                          <w:pPr>
                            <w:pStyle w:val="MarginalGrey"/>
                          </w:pPr>
                          <w:r>
                            <w:t>Carolin Mann</w:t>
                          </w:r>
                        </w:p>
                        <w:p w14:paraId="26D265B4" w14:textId="77777777" w:rsidR="00887C4F" w:rsidRPr="007D3CF4" w:rsidRDefault="00887C4F" w:rsidP="00EF48F9">
                          <w:pPr>
                            <w:pStyle w:val="MarginalSubheadline"/>
                            <w:rPr>
                              <w:lang w:val="en-US"/>
                            </w:rPr>
                          </w:pPr>
                          <w:r>
                            <w:rPr>
                              <w:lang w:val="en-US"/>
                            </w:rPr>
                            <w:t>Telephone</w:t>
                          </w:r>
                        </w:p>
                        <w:p w14:paraId="70946A27" w14:textId="21991B07" w:rsidR="00887C4F" w:rsidRPr="007D3CF4" w:rsidRDefault="00887C4F" w:rsidP="00EF48F9">
                          <w:pPr>
                            <w:pStyle w:val="MarginalGrey"/>
                            <w:rPr>
                              <w:lang w:val="en-US"/>
                            </w:rPr>
                          </w:pPr>
                          <w:r w:rsidRPr="007D3CF4">
                            <w:rPr>
                              <w:spacing w:val="-20"/>
                              <w:position w:val="6"/>
                              <w:sz w:val="14"/>
                              <w:lang w:val="en-US"/>
                            </w:rPr>
                            <w:t>+</w:t>
                          </w:r>
                          <w:r w:rsidRPr="007D3CF4">
                            <w:rPr>
                              <w:lang w:val="en-US"/>
                            </w:rPr>
                            <w:t xml:space="preserve">49 </w:t>
                          </w:r>
                          <w:r>
                            <w:rPr>
                              <w:lang w:val="en-US"/>
                            </w:rPr>
                            <w:t>173 7944 436</w:t>
                          </w:r>
                        </w:p>
                        <w:p w14:paraId="08B94A1D" w14:textId="77777777" w:rsidR="00887C4F" w:rsidRPr="00290856" w:rsidRDefault="00887C4F" w:rsidP="00EF48F9">
                          <w:pPr>
                            <w:pStyle w:val="MarginalSubheadline"/>
                            <w:rPr>
                              <w:lang w:val="en-US"/>
                            </w:rPr>
                          </w:pPr>
                          <w:r w:rsidRPr="00290856">
                            <w:rPr>
                              <w:lang w:val="en-US"/>
                            </w:rPr>
                            <w:t>Email</w:t>
                          </w:r>
                        </w:p>
                        <w:p w14:paraId="475CFC66" w14:textId="24589D4A" w:rsidR="00887C4F" w:rsidRPr="00290856" w:rsidRDefault="00887C4F" w:rsidP="00EF48F9">
                          <w:pPr>
                            <w:pStyle w:val="MarginalGrey"/>
                            <w:rPr>
                              <w:lang w:val="en-US"/>
                            </w:rPr>
                          </w:pPr>
                          <w:r>
                            <w:rPr>
                              <w:lang w:val="en-US"/>
                            </w:rPr>
                            <w:t>Carolin.Mann</w:t>
                          </w:r>
                        </w:p>
                        <w:p w14:paraId="554BA1EE" w14:textId="77777777" w:rsidR="00887C4F" w:rsidRPr="00290856" w:rsidRDefault="00887C4F" w:rsidP="00EF48F9">
                          <w:pPr>
                            <w:pStyle w:val="MarginalGrey"/>
                            <w:rPr>
                              <w:lang w:val="en-US"/>
                            </w:rPr>
                          </w:pPr>
                          <w:r w:rsidRPr="00290856">
                            <w:rPr>
                              <w:lang w:val="en-US"/>
                            </w:rPr>
                            <w:t>@covestro.com</w:t>
                          </w:r>
                        </w:p>
                        <w:p w14:paraId="3C51285C" w14:textId="77777777" w:rsidR="00887C4F" w:rsidRPr="00290856" w:rsidRDefault="00887C4F"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12844"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3C51284A" w14:textId="77777777" w:rsidR="00887C4F" w:rsidRPr="00FF609E" w:rsidRDefault="00887C4F" w:rsidP="00E62909">
                    <w:pPr>
                      <w:pStyle w:val="MarginalHeadline"/>
                      <w:rPr>
                        <w:lang w:val="en-US"/>
                      </w:rPr>
                    </w:pPr>
                    <w:r>
                      <w:rPr>
                        <w:lang w:val="en-US"/>
                      </w:rPr>
                      <w:t>Leverkusen</w:t>
                    </w:r>
                    <w:r w:rsidRPr="00FF609E">
                      <w:rPr>
                        <w:lang w:val="en-US"/>
                      </w:rPr>
                      <w:t>,</w:t>
                    </w:r>
                  </w:p>
                  <w:p w14:paraId="3C51284B" w14:textId="11CCC1EB" w:rsidR="00887C4F" w:rsidRPr="00FF609E" w:rsidRDefault="00887C4F" w:rsidP="00E62909">
                    <w:pPr>
                      <w:pStyle w:val="MarginalHeadline"/>
                      <w:rPr>
                        <w:lang w:val="en-US"/>
                      </w:rPr>
                    </w:pPr>
                    <w:r>
                      <w:rPr>
                        <w:lang w:val="en-US"/>
                      </w:rPr>
                      <w:t>February 23, 2021</w:t>
                    </w:r>
                  </w:p>
                  <w:p w14:paraId="3C51284C" w14:textId="77777777" w:rsidR="00887C4F" w:rsidRPr="00FF609E" w:rsidRDefault="00887C4F" w:rsidP="00E62909">
                    <w:pPr>
                      <w:pStyle w:val="MarginalHeadline"/>
                      <w:rPr>
                        <w:lang w:val="en-US"/>
                      </w:rPr>
                    </w:pPr>
                  </w:p>
                  <w:p w14:paraId="3C51284D" w14:textId="77777777" w:rsidR="00887C4F" w:rsidRPr="00FF609E" w:rsidRDefault="00887C4F" w:rsidP="00E62909">
                    <w:pPr>
                      <w:pStyle w:val="MarginalHeadline"/>
                      <w:rPr>
                        <w:lang w:val="en-US"/>
                      </w:rPr>
                    </w:pPr>
                  </w:p>
                  <w:p w14:paraId="3C51284E" w14:textId="77777777" w:rsidR="00887C4F" w:rsidRPr="00FF609E" w:rsidRDefault="00887C4F" w:rsidP="001E0514">
                    <w:pPr>
                      <w:pStyle w:val="MarginalHeadline"/>
                      <w:rPr>
                        <w:lang w:val="en-US"/>
                      </w:rPr>
                    </w:pPr>
                    <w:r w:rsidRPr="00FF609E">
                      <w:rPr>
                        <w:lang w:val="en-US"/>
                      </w:rPr>
                      <w:t>Covestro AG</w:t>
                    </w:r>
                  </w:p>
                  <w:p w14:paraId="3C51284F" w14:textId="77777777" w:rsidR="00887C4F" w:rsidRPr="007D3CF4" w:rsidRDefault="00887C4F" w:rsidP="00E62909">
                    <w:pPr>
                      <w:pStyle w:val="MarginalGrey"/>
                      <w:rPr>
                        <w:lang w:val="en-US"/>
                      </w:rPr>
                    </w:pPr>
                    <w:r>
                      <w:rPr>
                        <w:lang w:val="en-US"/>
                      </w:rPr>
                      <w:t>Communications</w:t>
                    </w:r>
                  </w:p>
                  <w:p w14:paraId="3C512850" w14:textId="77777777" w:rsidR="00887C4F" w:rsidRPr="007D3CF4" w:rsidRDefault="00887C4F" w:rsidP="00E62909">
                    <w:pPr>
                      <w:pStyle w:val="MarginalGrey"/>
                      <w:rPr>
                        <w:lang w:val="en-US"/>
                      </w:rPr>
                    </w:pPr>
                    <w:r>
                      <w:rPr>
                        <w:lang w:val="en-US"/>
                      </w:rPr>
                      <w:t>51365 Leverkusen</w:t>
                    </w:r>
                  </w:p>
                  <w:p w14:paraId="3C512851" w14:textId="77777777" w:rsidR="00887C4F" w:rsidRPr="007D3CF4" w:rsidRDefault="00887C4F" w:rsidP="00E62909">
                    <w:pPr>
                      <w:pStyle w:val="MarginalGrey"/>
                      <w:rPr>
                        <w:lang w:val="en-US"/>
                      </w:rPr>
                    </w:pPr>
                    <w:r>
                      <w:rPr>
                        <w:lang w:val="en-US"/>
                      </w:rPr>
                      <w:t>Germany</w:t>
                    </w:r>
                  </w:p>
                  <w:p w14:paraId="3C512852" w14:textId="77777777" w:rsidR="00887C4F" w:rsidRPr="007D3CF4" w:rsidRDefault="00887C4F" w:rsidP="00E62909">
                    <w:pPr>
                      <w:pStyle w:val="MarginalGrey"/>
                      <w:rPr>
                        <w:lang w:val="en-US"/>
                      </w:rPr>
                    </w:pPr>
                  </w:p>
                  <w:p w14:paraId="3C512853" w14:textId="77777777" w:rsidR="00887C4F" w:rsidRPr="007D3CF4" w:rsidRDefault="00887C4F" w:rsidP="00E62909">
                    <w:pPr>
                      <w:pStyle w:val="MarginalSubheadline"/>
                      <w:rPr>
                        <w:lang w:val="en-US"/>
                      </w:rPr>
                    </w:pPr>
                    <w:r>
                      <w:rPr>
                        <w:lang w:val="en-US"/>
                      </w:rPr>
                      <w:t>Contact</w:t>
                    </w:r>
                  </w:p>
                  <w:p w14:paraId="3C512854" w14:textId="644AFC03" w:rsidR="00887C4F" w:rsidRPr="007D3CF4" w:rsidRDefault="00887C4F" w:rsidP="00E62909">
                    <w:pPr>
                      <w:pStyle w:val="MarginalGrey"/>
                    </w:pPr>
                    <w:r>
                      <w:t>Lars Boelke</w:t>
                    </w:r>
                  </w:p>
                  <w:p w14:paraId="3C512855" w14:textId="77777777" w:rsidR="00887C4F" w:rsidRPr="007D3CF4" w:rsidRDefault="00887C4F" w:rsidP="00E62909">
                    <w:pPr>
                      <w:pStyle w:val="MarginalSubheadline"/>
                      <w:rPr>
                        <w:lang w:val="en-US"/>
                      </w:rPr>
                    </w:pPr>
                    <w:r>
                      <w:rPr>
                        <w:lang w:val="en-US"/>
                      </w:rPr>
                      <w:t>Telephone</w:t>
                    </w:r>
                  </w:p>
                  <w:p w14:paraId="3C512856" w14:textId="60F9ED25" w:rsidR="00887C4F" w:rsidRPr="007D3CF4" w:rsidRDefault="00887C4F" w:rsidP="00E62909">
                    <w:pPr>
                      <w:pStyle w:val="MarginalGrey"/>
                      <w:rPr>
                        <w:lang w:val="en-US"/>
                      </w:rPr>
                    </w:pPr>
                    <w:r w:rsidRPr="007D3CF4">
                      <w:rPr>
                        <w:spacing w:val="-20"/>
                        <w:position w:val="6"/>
                        <w:sz w:val="14"/>
                        <w:lang w:val="en-US"/>
                      </w:rPr>
                      <w:t>+</w:t>
                    </w:r>
                    <w:r w:rsidRPr="007D3CF4">
                      <w:rPr>
                        <w:lang w:val="en-US"/>
                      </w:rPr>
                      <w:t xml:space="preserve">49 </w:t>
                    </w:r>
                    <w:r>
                      <w:rPr>
                        <w:lang w:val="en-US"/>
                      </w:rPr>
                      <w:t>1522 8860 494</w:t>
                    </w:r>
                  </w:p>
                  <w:p w14:paraId="3C512857" w14:textId="77777777" w:rsidR="00887C4F" w:rsidRPr="007D3CF4" w:rsidRDefault="00887C4F" w:rsidP="00E62909">
                    <w:pPr>
                      <w:pStyle w:val="MarginalSubheadline"/>
                      <w:rPr>
                        <w:lang w:val="en-US"/>
                      </w:rPr>
                    </w:pPr>
                    <w:r w:rsidRPr="007D3CF4">
                      <w:rPr>
                        <w:lang w:val="en-US"/>
                      </w:rPr>
                      <w:t>Email</w:t>
                    </w:r>
                  </w:p>
                  <w:p w14:paraId="3C512858" w14:textId="2FB19751" w:rsidR="00887C4F" w:rsidRPr="007D3CF4" w:rsidRDefault="00887C4F" w:rsidP="00E62909">
                    <w:pPr>
                      <w:pStyle w:val="MarginalGrey"/>
                      <w:rPr>
                        <w:lang w:val="en-US"/>
                      </w:rPr>
                    </w:pPr>
                    <w:r>
                      <w:rPr>
                        <w:lang w:val="en-US"/>
                      </w:rPr>
                      <w:t>Lars.Boelke</w:t>
                    </w:r>
                  </w:p>
                  <w:p w14:paraId="3C512859" w14:textId="77777777" w:rsidR="00887C4F" w:rsidRPr="007D3CF4" w:rsidRDefault="00887C4F" w:rsidP="00E62909">
                    <w:pPr>
                      <w:pStyle w:val="MarginalGrey"/>
                      <w:rPr>
                        <w:lang w:val="en-US"/>
                      </w:rPr>
                    </w:pPr>
                    <w:r w:rsidRPr="007D3CF4">
                      <w:rPr>
                        <w:lang w:val="en-US"/>
                      </w:rPr>
                      <w:t>@covestro.com</w:t>
                    </w:r>
                  </w:p>
                  <w:p w14:paraId="3C51285A" w14:textId="77777777" w:rsidR="00887C4F" w:rsidRPr="007D3CF4" w:rsidRDefault="00887C4F" w:rsidP="00E62909">
                    <w:pPr>
                      <w:pStyle w:val="MarginalGrey"/>
                      <w:rPr>
                        <w:lang w:val="en-US"/>
                      </w:rPr>
                    </w:pPr>
                  </w:p>
                  <w:p w14:paraId="19A7E910" w14:textId="539A29D7" w:rsidR="00887C4F" w:rsidRPr="00290856" w:rsidRDefault="00887C4F" w:rsidP="0013427B">
                    <w:pPr>
                      <w:pStyle w:val="MarginalGrey"/>
                      <w:rPr>
                        <w:lang w:val="en-US"/>
                      </w:rPr>
                    </w:pPr>
                  </w:p>
                  <w:p w14:paraId="3A594610" w14:textId="77777777" w:rsidR="00887C4F" w:rsidRPr="007D3CF4" w:rsidRDefault="00887C4F" w:rsidP="00EF48F9">
                    <w:pPr>
                      <w:pStyle w:val="MarginalSubheadline"/>
                      <w:rPr>
                        <w:lang w:val="en-US"/>
                      </w:rPr>
                    </w:pPr>
                    <w:r>
                      <w:rPr>
                        <w:lang w:val="en-US"/>
                      </w:rPr>
                      <w:t>Contact</w:t>
                    </w:r>
                  </w:p>
                  <w:p w14:paraId="0DE1B466" w14:textId="3522DD7E" w:rsidR="00887C4F" w:rsidRPr="007D3CF4" w:rsidRDefault="00887C4F" w:rsidP="00EF48F9">
                    <w:pPr>
                      <w:pStyle w:val="MarginalGrey"/>
                    </w:pPr>
                    <w:r>
                      <w:t>Carolin Mann</w:t>
                    </w:r>
                  </w:p>
                  <w:p w14:paraId="26D265B4" w14:textId="77777777" w:rsidR="00887C4F" w:rsidRPr="007D3CF4" w:rsidRDefault="00887C4F" w:rsidP="00EF48F9">
                    <w:pPr>
                      <w:pStyle w:val="MarginalSubheadline"/>
                      <w:rPr>
                        <w:lang w:val="en-US"/>
                      </w:rPr>
                    </w:pPr>
                    <w:r>
                      <w:rPr>
                        <w:lang w:val="en-US"/>
                      </w:rPr>
                      <w:t>Telephone</w:t>
                    </w:r>
                  </w:p>
                  <w:p w14:paraId="70946A27" w14:textId="21991B07" w:rsidR="00887C4F" w:rsidRPr="007D3CF4" w:rsidRDefault="00887C4F" w:rsidP="00EF48F9">
                    <w:pPr>
                      <w:pStyle w:val="MarginalGrey"/>
                      <w:rPr>
                        <w:lang w:val="en-US"/>
                      </w:rPr>
                    </w:pPr>
                    <w:r w:rsidRPr="007D3CF4">
                      <w:rPr>
                        <w:spacing w:val="-20"/>
                        <w:position w:val="6"/>
                        <w:sz w:val="14"/>
                        <w:lang w:val="en-US"/>
                      </w:rPr>
                      <w:t>+</w:t>
                    </w:r>
                    <w:r w:rsidRPr="007D3CF4">
                      <w:rPr>
                        <w:lang w:val="en-US"/>
                      </w:rPr>
                      <w:t xml:space="preserve">49 </w:t>
                    </w:r>
                    <w:r>
                      <w:rPr>
                        <w:lang w:val="en-US"/>
                      </w:rPr>
                      <w:t>173 7944 436</w:t>
                    </w:r>
                  </w:p>
                  <w:p w14:paraId="08B94A1D" w14:textId="77777777" w:rsidR="00887C4F" w:rsidRPr="00290856" w:rsidRDefault="00887C4F" w:rsidP="00EF48F9">
                    <w:pPr>
                      <w:pStyle w:val="MarginalSubheadline"/>
                      <w:rPr>
                        <w:lang w:val="en-US"/>
                      </w:rPr>
                    </w:pPr>
                    <w:r w:rsidRPr="00290856">
                      <w:rPr>
                        <w:lang w:val="en-US"/>
                      </w:rPr>
                      <w:t>Email</w:t>
                    </w:r>
                  </w:p>
                  <w:p w14:paraId="475CFC66" w14:textId="24589D4A" w:rsidR="00887C4F" w:rsidRPr="00290856" w:rsidRDefault="00887C4F" w:rsidP="00EF48F9">
                    <w:pPr>
                      <w:pStyle w:val="MarginalGrey"/>
                      <w:rPr>
                        <w:lang w:val="en-US"/>
                      </w:rPr>
                    </w:pPr>
                    <w:r>
                      <w:rPr>
                        <w:lang w:val="en-US"/>
                      </w:rPr>
                      <w:t>Carolin.Mann</w:t>
                    </w:r>
                  </w:p>
                  <w:p w14:paraId="554BA1EE" w14:textId="77777777" w:rsidR="00887C4F" w:rsidRPr="00290856" w:rsidRDefault="00887C4F" w:rsidP="00EF48F9">
                    <w:pPr>
                      <w:pStyle w:val="MarginalGrey"/>
                      <w:rPr>
                        <w:lang w:val="en-US"/>
                      </w:rPr>
                    </w:pPr>
                    <w:r w:rsidRPr="00290856">
                      <w:rPr>
                        <w:lang w:val="en-US"/>
                      </w:rPr>
                      <w:t>@covestro.com</w:t>
                    </w:r>
                  </w:p>
                  <w:p w14:paraId="3C51285C" w14:textId="77777777" w:rsidR="00887C4F" w:rsidRPr="00290856" w:rsidRDefault="00887C4F" w:rsidP="00E62909">
                    <w:pPr>
                      <w:pStyle w:val="MarginalGrey"/>
                      <w:rPr>
                        <w:lang w:val="en-US"/>
                      </w:rPr>
                    </w:pPr>
                  </w:p>
                </w:txbxContent>
              </v:textbox>
              <w10:wrap anchorx="page" anchory="page"/>
              <w10:anchorlock/>
            </v:shape>
          </w:pict>
        </mc:Fallback>
      </mc:AlternateContent>
    </w:r>
    <w:r>
      <w:rPr>
        <w:lang w:eastAsia="en-US"/>
      </w:rPr>
      <w:drawing>
        <wp:anchor distT="0" distB="1005840" distL="114300" distR="114300" simplePos="0" relativeHeight="251672576" behindDoc="1" locked="0" layoutInCell="1" allowOverlap="1" wp14:anchorId="3C512846" wp14:editId="3C51284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17C6B22"/>
    <w:multiLevelType w:val="hybridMultilevel"/>
    <w:tmpl w:val="848C5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82214"/>
    <w:multiLevelType w:val="multilevel"/>
    <w:tmpl w:val="E6A4D1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3462C"/>
    <w:rsid w:val="00044B54"/>
    <w:rsid w:val="00055077"/>
    <w:rsid w:val="00080E35"/>
    <w:rsid w:val="00085F89"/>
    <w:rsid w:val="000B04F1"/>
    <w:rsid w:val="000B7592"/>
    <w:rsid w:val="000D61C4"/>
    <w:rsid w:val="000E2848"/>
    <w:rsid w:val="000E7757"/>
    <w:rsid w:val="000F0027"/>
    <w:rsid w:val="00103257"/>
    <w:rsid w:val="00106178"/>
    <w:rsid w:val="00117E89"/>
    <w:rsid w:val="00130B06"/>
    <w:rsid w:val="0013230E"/>
    <w:rsid w:val="00134043"/>
    <w:rsid w:val="0013427B"/>
    <w:rsid w:val="0015231E"/>
    <w:rsid w:val="001556B1"/>
    <w:rsid w:val="00163F6F"/>
    <w:rsid w:val="00167EC4"/>
    <w:rsid w:val="00172F4F"/>
    <w:rsid w:val="0018540C"/>
    <w:rsid w:val="00193EA3"/>
    <w:rsid w:val="001A3DDD"/>
    <w:rsid w:val="001C2077"/>
    <w:rsid w:val="001D6AF6"/>
    <w:rsid w:val="001E0514"/>
    <w:rsid w:val="001E09C4"/>
    <w:rsid w:val="001E533F"/>
    <w:rsid w:val="001E7B93"/>
    <w:rsid w:val="001F13D6"/>
    <w:rsid w:val="001F36CF"/>
    <w:rsid w:val="001F673F"/>
    <w:rsid w:val="00205C8A"/>
    <w:rsid w:val="00210896"/>
    <w:rsid w:val="00215EC2"/>
    <w:rsid w:val="00217AC4"/>
    <w:rsid w:val="0022677C"/>
    <w:rsid w:val="00234B3B"/>
    <w:rsid w:val="00256946"/>
    <w:rsid w:val="00256EE5"/>
    <w:rsid w:val="00271C5D"/>
    <w:rsid w:val="002766B7"/>
    <w:rsid w:val="00277677"/>
    <w:rsid w:val="00290856"/>
    <w:rsid w:val="002A4D30"/>
    <w:rsid w:val="002A5464"/>
    <w:rsid w:val="002A72A9"/>
    <w:rsid w:val="002B0CB4"/>
    <w:rsid w:val="002B2EEE"/>
    <w:rsid w:val="002B4B6B"/>
    <w:rsid w:val="002B508F"/>
    <w:rsid w:val="002C35B8"/>
    <w:rsid w:val="002E4CFC"/>
    <w:rsid w:val="002E4ED7"/>
    <w:rsid w:val="002F1725"/>
    <w:rsid w:val="002F1CCE"/>
    <w:rsid w:val="002F3480"/>
    <w:rsid w:val="002F5DC7"/>
    <w:rsid w:val="00313438"/>
    <w:rsid w:val="003139A3"/>
    <w:rsid w:val="0031458D"/>
    <w:rsid w:val="00332A6B"/>
    <w:rsid w:val="00334A28"/>
    <w:rsid w:val="00344CC5"/>
    <w:rsid w:val="003511EE"/>
    <w:rsid w:val="003A1EAA"/>
    <w:rsid w:val="003A7B52"/>
    <w:rsid w:val="003C67DA"/>
    <w:rsid w:val="00406164"/>
    <w:rsid w:val="0040658E"/>
    <w:rsid w:val="00406812"/>
    <w:rsid w:val="00435B81"/>
    <w:rsid w:val="00437F75"/>
    <w:rsid w:val="004444E9"/>
    <w:rsid w:val="00475EED"/>
    <w:rsid w:val="00476AE1"/>
    <w:rsid w:val="004842C7"/>
    <w:rsid w:val="004903F5"/>
    <w:rsid w:val="00491283"/>
    <w:rsid w:val="004A5931"/>
    <w:rsid w:val="004B087C"/>
    <w:rsid w:val="004B633F"/>
    <w:rsid w:val="004C52C2"/>
    <w:rsid w:val="004D30A8"/>
    <w:rsid w:val="004E1506"/>
    <w:rsid w:val="0052202A"/>
    <w:rsid w:val="005237E8"/>
    <w:rsid w:val="005245C9"/>
    <w:rsid w:val="00530D8E"/>
    <w:rsid w:val="00534805"/>
    <w:rsid w:val="00556387"/>
    <w:rsid w:val="00562695"/>
    <w:rsid w:val="00566B27"/>
    <w:rsid w:val="00571F9E"/>
    <w:rsid w:val="00572E06"/>
    <w:rsid w:val="0057478C"/>
    <w:rsid w:val="005958A2"/>
    <w:rsid w:val="005A27B7"/>
    <w:rsid w:val="005B2267"/>
    <w:rsid w:val="005C2D2E"/>
    <w:rsid w:val="005F24C9"/>
    <w:rsid w:val="00603752"/>
    <w:rsid w:val="0062762A"/>
    <w:rsid w:val="00664588"/>
    <w:rsid w:val="006724F8"/>
    <w:rsid w:val="006727CC"/>
    <w:rsid w:val="0067551F"/>
    <w:rsid w:val="006810FA"/>
    <w:rsid w:val="006A028F"/>
    <w:rsid w:val="006C1928"/>
    <w:rsid w:val="006C511E"/>
    <w:rsid w:val="006E1952"/>
    <w:rsid w:val="006F4FB1"/>
    <w:rsid w:val="00703144"/>
    <w:rsid w:val="00713937"/>
    <w:rsid w:val="00715731"/>
    <w:rsid w:val="00722E79"/>
    <w:rsid w:val="00727E70"/>
    <w:rsid w:val="00744766"/>
    <w:rsid w:val="00747C3E"/>
    <w:rsid w:val="00754714"/>
    <w:rsid w:val="00767A78"/>
    <w:rsid w:val="00784BB0"/>
    <w:rsid w:val="00785D2A"/>
    <w:rsid w:val="00794FFE"/>
    <w:rsid w:val="007A05BD"/>
    <w:rsid w:val="007A1FFA"/>
    <w:rsid w:val="007A3CE0"/>
    <w:rsid w:val="007A3FCF"/>
    <w:rsid w:val="007C59B9"/>
    <w:rsid w:val="007D3CF4"/>
    <w:rsid w:val="007D4B38"/>
    <w:rsid w:val="007E76BF"/>
    <w:rsid w:val="007F26E0"/>
    <w:rsid w:val="007F5C30"/>
    <w:rsid w:val="007F7211"/>
    <w:rsid w:val="008031F5"/>
    <w:rsid w:val="00822790"/>
    <w:rsid w:val="00841A7A"/>
    <w:rsid w:val="00842FA8"/>
    <w:rsid w:val="008517F1"/>
    <w:rsid w:val="00855D0B"/>
    <w:rsid w:val="00856C48"/>
    <w:rsid w:val="00861B16"/>
    <w:rsid w:val="008668EE"/>
    <w:rsid w:val="00866ABC"/>
    <w:rsid w:val="00885415"/>
    <w:rsid w:val="00887C4F"/>
    <w:rsid w:val="00892FBA"/>
    <w:rsid w:val="008A4F91"/>
    <w:rsid w:val="008A6170"/>
    <w:rsid w:val="008A7F54"/>
    <w:rsid w:val="008B2713"/>
    <w:rsid w:val="008B7385"/>
    <w:rsid w:val="008C0E1B"/>
    <w:rsid w:val="008D4C5D"/>
    <w:rsid w:val="008F60D0"/>
    <w:rsid w:val="00901975"/>
    <w:rsid w:val="00903143"/>
    <w:rsid w:val="00907DBE"/>
    <w:rsid w:val="0094695B"/>
    <w:rsid w:val="0095161C"/>
    <w:rsid w:val="00954DED"/>
    <w:rsid w:val="009647FA"/>
    <w:rsid w:val="00966930"/>
    <w:rsid w:val="00971111"/>
    <w:rsid w:val="00980D82"/>
    <w:rsid w:val="0099288A"/>
    <w:rsid w:val="009A418F"/>
    <w:rsid w:val="009C59C4"/>
    <w:rsid w:val="009D60D6"/>
    <w:rsid w:val="009F0AD9"/>
    <w:rsid w:val="00A22631"/>
    <w:rsid w:val="00A2758A"/>
    <w:rsid w:val="00A3177E"/>
    <w:rsid w:val="00A34C45"/>
    <w:rsid w:val="00A61D91"/>
    <w:rsid w:val="00A635E0"/>
    <w:rsid w:val="00A84D6B"/>
    <w:rsid w:val="00A851CC"/>
    <w:rsid w:val="00A87B2F"/>
    <w:rsid w:val="00AA26C9"/>
    <w:rsid w:val="00AA400A"/>
    <w:rsid w:val="00AB3865"/>
    <w:rsid w:val="00AB4421"/>
    <w:rsid w:val="00AD4524"/>
    <w:rsid w:val="00AD460F"/>
    <w:rsid w:val="00AE7A1C"/>
    <w:rsid w:val="00B01CE8"/>
    <w:rsid w:val="00B01DF5"/>
    <w:rsid w:val="00B05904"/>
    <w:rsid w:val="00B133A1"/>
    <w:rsid w:val="00B17D29"/>
    <w:rsid w:val="00B24217"/>
    <w:rsid w:val="00B271EE"/>
    <w:rsid w:val="00B46155"/>
    <w:rsid w:val="00B51CB1"/>
    <w:rsid w:val="00B839DC"/>
    <w:rsid w:val="00BA0CE3"/>
    <w:rsid w:val="00BD6BC4"/>
    <w:rsid w:val="00BE5A8A"/>
    <w:rsid w:val="00BE617B"/>
    <w:rsid w:val="00C21688"/>
    <w:rsid w:val="00C26A6F"/>
    <w:rsid w:val="00C36151"/>
    <w:rsid w:val="00C446BB"/>
    <w:rsid w:val="00C47424"/>
    <w:rsid w:val="00C52658"/>
    <w:rsid w:val="00C553E7"/>
    <w:rsid w:val="00C7391B"/>
    <w:rsid w:val="00C80D9C"/>
    <w:rsid w:val="00C9256B"/>
    <w:rsid w:val="00C95C3A"/>
    <w:rsid w:val="00C960FD"/>
    <w:rsid w:val="00C965DD"/>
    <w:rsid w:val="00CB47BA"/>
    <w:rsid w:val="00CC6262"/>
    <w:rsid w:val="00CC73C3"/>
    <w:rsid w:val="00CD11AA"/>
    <w:rsid w:val="00CD6097"/>
    <w:rsid w:val="00CE1D96"/>
    <w:rsid w:val="00CE26E0"/>
    <w:rsid w:val="00CE5C3C"/>
    <w:rsid w:val="00CF3503"/>
    <w:rsid w:val="00CF7F49"/>
    <w:rsid w:val="00D02B3D"/>
    <w:rsid w:val="00D04345"/>
    <w:rsid w:val="00D0636E"/>
    <w:rsid w:val="00D12BB6"/>
    <w:rsid w:val="00D45BF1"/>
    <w:rsid w:val="00D71C0A"/>
    <w:rsid w:val="00DA0C05"/>
    <w:rsid w:val="00DA1ABC"/>
    <w:rsid w:val="00DA7800"/>
    <w:rsid w:val="00DA7A19"/>
    <w:rsid w:val="00DB5D07"/>
    <w:rsid w:val="00DB6E27"/>
    <w:rsid w:val="00DC01C7"/>
    <w:rsid w:val="00DC1CDB"/>
    <w:rsid w:val="00DC56B1"/>
    <w:rsid w:val="00DE590A"/>
    <w:rsid w:val="00DF013D"/>
    <w:rsid w:val="00E0361B"/>
    <w:rsid w:val="00E250CA"/>
    <w:rsid w:val="00E3018D"/>
    <w:rsid w:val="00E348C2"/>
    <w:rsid w:val="00E34EB1"/>
    <w:rsid w:val="00E469A8"/>
    <w:rsid w:val="00E52938"/>
    <w:rsid w:val="00E539E1"/>
    <w:rsid w:val="00E610A8"/>
    <w:rsid w:val="00E62909"/>
    <w:rsid w:val="00E62F1E"/>
    <w:rsid w:val="00E6434E"/>
    <w:rsid w:val="00E72908"/>
    <w:rsid w:val="00E8212E"/>
    <w:rsid w:val="00E83BAB"/>
    <w:rsid w:val="00E858E0"/>
    <w:rsid w:val="00E91DBC"/>
    <w:rsid w:val="00ED21C8"/>
    <w:rsid w:val="00ED4996"/>
    <w:rsid w:val="00ED6A1D"/>
    <w:rsid w:val="00EE19A0"/>
    <w:rsid w:val="00EE2B08"/>
    <w:rsid w:val="00EF48F9"/>
    <w:rsid w:val="00EF5501"/>
    <w:rsid w:val="00F20563"/>
    <w:rsid w:val="00F42C9B"/>
    <w:rsid w:val="00F44A9A"/>
    <w:rsid w:val="00F45DD6"/>
    <w:rsid w:val="00F5386F"/>
    <w:rsid w:val="00F53903"/>
    <w:rsid w:val="00F53A16"/>
    <w:rsid w:val="00F54349"/>
    <w:rsid w:val="00F55F45"/>
    <w:rsid w:val="00F669FE"/>
    <w:rsid w:val="00F7761B"/>
    <w:rsid w:val="00F8743F"/>
    <w:rsid w:val="00FA4A51"/>
    <w:rsid w:val="00FA5949"/>
    <w:rsid w:val="00FC1745"/>
    <w:rsid w:val="00FD10B7"/>
    <w:rsid w:val="00FD47A3"/>
    <w:rsid w:val="00FE0556"/>
    <w:rsid w:val="00FF26F9"/>
    <w:rsid w:val="00FF3213"/>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1281C"/>
  <w15:docId w15:val="{8D79343D-5D26-42F9-9B38-FA463A7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Kommentarzeichen">
    <w:name w:val="annotation reference"/>
    <w:basedOn w:val="Absatz-Standardschriftart"/>
    <w:uiPriority w:val="99"/>
    <w:semiHidden/>
    <w:unhideWhenUsed/>
    <w:rsid w:val="00406812"/>
    <w:rPr>
      <w:sz w:val="16"/>
      <w:szCs w:val="16"/>
    </w:rPr>
  </w:style>
  <w:style w:type="paragraph" w:styleId="Kommentartext">
    <w:name w:val="annotation text"/>
    <w:basedOn w:val="Standard"/>
    <w:link w:val="KommentartextZchn"/>
    <w:uiPriority w:val="99"/>
    <w:unhideWhenUsed/>
    <w:rsid w:val="00406812"/>
    <w:pPr>
      <w:spacing w:line="240" w:lineRule="auto"/>
    </w:pPr>
    <w:rPr>
      <w:sz w:val="20"/>
      <w:szCs w:val="20"/>
    </w:rPr>
  </w:style>
  <w:style w:type="character" w:customStyle="1" w:styleId="KommentartextZchn">
    <w:name w:val="Kommentartext Zchn"/>
    <w:basedOn w:val="Absatz-Standardschriftart"/>
    <w:link w:val="Kommentartext"/>
    <w:uiPriority w:val="99"/>
    <w:rsid w:val="00406812"/>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06812"/>
    <w:rPr>
      <w:b/>
      <w:bCs/>
    </w:rPr>
  </w:style>
  <w:style w:type="character" w:customStyle="1" w:styleId="KommentarthemaZchn">
    <w:name w:val="Kommentarthema Zchn"/>
    <w:basedOn w:val="KommentartextZchn"/>
    <w:link w:val="Kommentarthema"/>
    <w:uiPriority w:val="99"/>
    <w:semiHidden/>
    <w:rsid w:val="00406812"/>
    <w:rPr>
      <w:b/>
      <w:bCs/>
      <w:noProof/>
      <w:spacing w:val="-2"/>
      <w:kern w:val="21"/>
      <w:lang w:val="en-US"/>
    </w:rPr>
  </w:style>
  <w:style w:type="paragraph" w:customStyle="1" w:styleId="paragraph">
    <w:name w:val="paragraph"/>
    <w:basedOn w:val="Standard"/>
    <w:rsid w:val="000D61C4"/>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Absatz-Standardschriftart"/>
    <w:rsid w:val="000D61C4"/>
  </w:style>
  <w:style w:type="paragraph" w:customStyle="1" w:styleId="Ttitleblue">
    <w:name w:val="T_title_blue"/>
    <w:qFormat/>
    <w:rsid w:val="00767A78"/>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767A78"/>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767A78"/>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767A78"/>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767A78"/>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767A78"/>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767A78"/>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767A78"/>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767A78"/>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767A78"/>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767A78"/>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767A78"/>
    <w:rPr>
      <w:rFonts w:ascii="Aktiv Grotesk Light" w:eastAsiaTheme="minorHAnsi" w:hAnsi="Aktiv Grotesk Light" w:cstheme="minorBidi"/>
      <w:sz w:val="2"/>
      <w:szCs w:val="22"/>
      <w:lang w:eastAsia="en-US"/>
    </w:rPr>
  </w:style>
  <w:style w:type="character" w:customStyle="1" w:styleId="TDummyZchn">
    <w:name w:val="T_Dummy Zchn"/>
    <w:link w:val="TDummy"/>
    <w:rsid w:val="00767A78"/>
    <w:rPr>
      <w:rFonts w:ascii="Aktiv Grotesk Light" w:eastAsiaTheme="minorHAnsi" w:hAnsi="Aktiv Grotesk Light" w:cstheme="minorBidi"/>
      <w:color w:val="3F3F3F" w:themeColor="text1"/>
      <w:sz w:val="7"/>
      <w:szCs w:val="22"/>
      <w:lang w:val="en-GB" w:eastAsia="en-US"/>
    </w:rPr>
  </w:style>
  <w:style w:type="character" w:styleId="NichtaufgelsteErwhnung">
    <w:name w:val="Unresolved Mention"/>
    <w:basedOn w:val="Absatz-Standardschriftart"/>
    <w:uiPriority w:val="99"/>
    <w:semiHidden/>
    <w:unhideWhenUsed/>
    <w:rsid w:val="006F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stro.com/pre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29QYjvs1g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0DB100924878498377832A5D8C663D" ma:contentTypeVersion="2" ma:contentTypeDescription="Ein neues Dokument erstellen." ma:contentTypeScope="" ma:versionID="82d78553b52f56f01e43cd7e96f8ee81">
  <xsd:schema xmlns:xsd="http://www.w3.org/2001/XMLSchema" xmlns:xs="http://www.w3.org/2001/XMLSchema" xmlns:p="http://schemas.microsoft.com/office/2006/metadata/properties" xmlns:ns2="2210736a-ede2-479d-a950-7bc4c663be37" targetNamespace="http://schemas.microsoft.com/office/2006/metadata/properties" ma:root="true" ma:fieldsID="2536ffcb5975fedf79528f6664f78630" ns2:_="">
    <xsd:import namespace="2210736a-ede2-479d-a950-7bc4c663be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0736a-ede2-479d-a950-7bc4c663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2.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1347F-CD53-4329-BCBB-D6F149E14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0736a-ede2-479d-a950-7bc4c663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DB99C-D2B0-435B-B454-6A5B8D3A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11819</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Carolin Mann</cp:lastModifiedBy>
  <cp:revision>6</cp:revision>
  <cp:lastPrinted>2021-02-22T20:37:00Z</cp:lastPrinted>
  <dcterms:created xsi:type="dcterms:W3CDTF">2021-02-22T19:35:00Z</dcterms:created>
  <dcterms:modified xsi:type="dcterms:W3CDTF">2021-02-23T05:18:00Z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0x010100650DB100924878498377832A5D8C663D</vt:lpwstr>
  </property>
</Properties>
</file>