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1188" w14:textId="4DF09992" w:rsidR="00B020A0" w:rsidRDefault="007B115E" w:rsidP="004D0E37">
      <w:pPr>
        <w:tabs>
          <w:tab w:val="num" w:pos="720"/>
        </w:tabs>
        <w:spacing w:after="0" w:line="300" w:lineRule="atLeast"/>
        <w:textAlignment w:val="baseline"/>
        <w:rPr>
          <w:lang w:val="de-DE"/>
        </w:rPr>
      </w:pPr>
      <w:r>
        <w:rPr>
          <w:lang w:val="de-DE"/>
        </w:rPr>
        <w:t>Gesamtjahr 2020: Deutliche Verbesserung in zweiter Jahreshälfte</w:t>
      </w:r>
    </w:p>
    <w:p w14:paraId="73609565" w14:textId="77777777" w:rsidR="00F1794C" w:rsidRPr="00D67291" w:rsidRDefault="00F1794C" w:rsidP="004D0E37">
      <w:pPr>
        <w:spacing w:after="0" w:line="300" w:lineRule="atLeast"/>
        <w:rPr>
          <w:lang w:val="de-DE"/>
        </w:rPr>
      </w:pPr>
    </w:p>
    <w:p w14:paraId="73609566" w14:textId="29823DD0" w:rsidR="00E91DBC" w:rsidRPr="0085657E" w:rsidRDefault="008260CD" w:rsidP="004D0E37">
      <w:pPr>
        <w:spacing w:after="0" w:line="300" w:lineRule="atLeast"/>
        <w:rPr>
          <w:b/>
          <w:sz w:val="30"/>
          <w:szCs w:val="30"/>
          <w:lang w:val="de-DE"/>
        </w:rPr>
      </w:pPr>
      <w:r w:rsidRPr="0085657E">
        <w:rPr>
          <w:b/>
          <w:sz w:val="30"/>
          <w:szCs w:val="30"/>
          <w:lang w:val="de-DE"/>
        </w:rPr>
        <w:t xml:space="preserve">Covestro steuert </w:t>
      </w:r>
      <w:r w:rsidR="00F7371B" w:rsidRPr="0085657E">
        <w:rPr>
          <w:b/>
          <w:sz w:val="30"/>
          <w:szCs w:val="30"/>
          <w:lang w:val="de-DE"/>
        </w:rPr>
        <w:t xml:space="preserve">erfolgreich </w:t>
      </w:r>
      <w:r w:rsidRPr="0085657E">
        <w:rPr>
          <w:b/>
          <w:sz w:val="30"/>
          <w:szCs w:val="30"/>
          <w:lang w:val="de-DE"/>
        </w:rPr>
        <w:t xml:space="preserve">durch </w:t>
      </w:r>
      <w:r w:rsidR="002B31F0" w:rsidRPr="0085657E">
        <w:rPr>
          <w:b/>
          <w:sz w:val="30"/>
          <w:szCs w:val="30"/>
          <w:lang w:val="de-DE"/>
        </w:rPr>
        <w:t>das Ausnahmejahr</w:t>
      </w:r>
      <w:r w:rsidRPr="0085657E">
        <w:rPr>
          <w:b/>
          <w:sz w:val="30"/>
          <w:szCs w:val="30"/>
          <w:lang w:val="de-DE"/>
        </w:rPr>
        <w:t xml:space="preserve"> </w:t>
      </w:r>
      <w:r w:rsidR="00C6609F" w:rsidRPr="0085657E">
        <w:rPr>
          <w:b/>
          <w:sz w:val="30"/>
          <w:szCs w:val="30"/>
          <w:lang w:val="de-DE"/>
        </w:rPr>
        <w:t>2020</w:t>
      </w:r>
    </w:p>
    <w:p w14:paraId="73609567" w14:textId="77777777" w:rsidR="00F1794C" w:rsidRPr="0085657E" w:rsidRDefault="00F1794C" w:rsidP="004D0E37">
      <w:pPr>
        <w:spacing w:after="0" w:line="300" w:lineRule="atLeast"/>
        <w:rPr>
          <w:lang w:val="de-DE"/>
        </w:rPr>
      </w:pPr>
    </w:p>
    <w:p w14:paraId="0B4D31B5" w14:textId="71BAFBA5" w:rsidR="003562DD" w:rsidRPr="0085657E" w:rsidRDefault="003562DD" w:rsidP="004D0E37">
      <w:pPr>
        <w:pStyle w:val="paragraph"/>
        <w:numPr>
          <w:ilvl w:val="0"/>
          <w:numId w:val="4"/>
        </w:numPr>
        <w:spacing w:before="0" w:beforeAutospacing="0" w:after="0" w:afterAutospacing="0" w:line="300" w:lineRule="atLeast"/>
        <w:ind w:left="357" w:firstLine="0"/>
        <w:textAlignment w:val="baseline"/>
        <w:rPr>
          <w:rFonts w:ascii="Arial" w:hAnsi="Arial" w:cs="Arial"/>
          <w:sz w:val="21"/>
          <w:szCs w:val="21"/>
        </w:rPr>
      </w:pPr>
      <w:r w:rsidRPr="0085657E">
        <w:rPr>
          <w:rStyle w:val="normaltextrun"/>
          <w:rFonts w:ascii="Arial" w:hAnsi="Arial" w:cs="Arial"/>
          <w:b/>
          <w:bCs/>
          <w:sz w:val="21"/>
          <w:szCs w:val="21"/>
        </w:rPr>
        <w:t>Abgesetzte Mengen im Kerngeschäft um 5,6</w:t>
      </w:r>
      <w:r w:rsidR="0098320C" w:rsidRPr="0085657E">
        <w:rPr>
          <w:rStyle w:val="normaltextrun"/>
          <w:rFonts w:ascii="Arial" w:hAnsi="Arial" w:cs="Arial"/>
          <w:b/>
          <w:bCs/>
          <w:sz w:val="21"/>
          <w:szCs w:val="21"/>
        </w:rPr>
        <w:t> </w:t>
      </w:r>
      <w:r w:rsidRPr="0085657E">
        <w:rPr>
          <w:rStyle w:val="normaltextrun"/>
          <w:rFonts w:ascii="Arial" w:hAnsi="Arial" w:cs="Arial"/>
          <w:b/>
          <w:bCs/>
          <w:sz w:val="21"/>
          <w:szCs w:val="21"/>
        </w:rPr>
        <w:t>% gesunken</w:t>
      </w:r>
    </w:p>
    <w:p w14:paraId="2B78B6A3" w14:textId="18B29E42" w:rsidR="003562DD" w:rsidRPr="0085657E" w:rsidRDefault="003562DD" w:rsidP="004D0E37">
      <w:pPr>
        <w:pStyle w:val="paragraph"/>
        <w:numPr>
          <w:ilvl w:val="0"/>
          <w:numId w:val="5"/>
        </w:numPr>
        <w:spacing w:before="0" w:beforeAutospacing="0" w:after="0" w:afterAutospacing="0" w:line="300" w:lineRule="atLeast"/>
        <w:ind w:left="357" w:firstLine="0"/>
        <w:textAlignment w:val="baseline"/>
        <w:rPr>
          <w:rFonts w:ascii="Arial" w:hAnsi="Arial" w:cs="Arial"/>
          <w:sz w:val="21"/>
          <w:szCs w:val="21"/>
        </w:rPr>
      </w:pPr>
      <w:r w:rsidRPr="0085657E">
        <w:rPr>
          <w:rStyle w:val="normaltextrun"/>
          <w:rFonts w:ascii="Arial" w:hAnsi="Arial" w:cs="Arial"/>
          <w:b/>
          <w:bCs/>
          <w:sz w:val="21"/>
          <w:szCs w:val="21"/>
        </w:rPr>
        <w:t>Konzernumsatz</w:t>
      </w:r>
      <w:r w:rsidR="008A3B40" w:rsidRPr="0085657E">
        <w:rPr>
          <w:rStyle w:val="normaltextrun"/>
          <w:rFonts w:ascii="Arial" w:hAnsi="Arial" w:cs="Arial"/>
          <w:b/>
          <w:bCs/>
          <w:sz w:val="21"/>
          <w:szCs w:val="21"/>
        </w:rPr>
        <w:t xml:space="preserve"> </w:t>
      </w:r>
      <w:r w:rsidR="00E30BF6" w:rsidRPr="0085657E">
        <w:rPr>
          <w:rStyle w:val="normaltextrun"/>
          <w:rFonts w:ascii="Arial" w:hAnsi="Arial" w:cs="Arial"/>
          <w:b/>
          <w:bCs/>
          <w:sz w:val="21"/>
          <w:szCs w:val="21"/>
        </w:rPr>
        <w:t xml:space="preserve">von </w:t>
      </w:r>
      <w:r w:rsidRPr="0085657E">
        <w:rPr>
          <w:rStyle w:val="normaltextrun"/>
          <w:rFonts w:ascii="Arial" w:hAnsi="Arial" w:cs="Arial"/>
          <w:b/>
          <w:bCs/>
          <w:sz w:val="21"/>
          <w:szCs w:val="21"/>
        </w:rPr>
        <w:t>rund 10,7 Mrd. Euro</w:t>
      </w:r>
      <w:r w:rsidR="00E53E68" w:rsidRPr="0085657E">
        <w:rPr>
          <w:rStyle w:val="normaltextrun"/>
          <w:rFonts w:ascii="Arial" w:hAnsi="Arial" w:cs="Arial"/>
          <w:b/>
          <w:bCs/>
          <w:sz w:val="21"/>
          <w:szCs w:val="21"/>
        </w:rPr>
        <w:t xml:space="preserve"> (–</w:t>
      </w:r>
      <w:r w:rsidRPr="0085657E">
        <w:rPr>
          <w:rStyle w:val="normaltextrun"/>
          <w:rFonts w:ascii="Arial" w:hAnsi="Arial" w:cs="Arial"/>
          <w:b/>
          <w:bCs/>
          <w:sz w:val="21"/>
          <w:szCs w:val="21"/>
        </w:rPr>
        <w:t>13,7</w:t>
      </w:r>
      <w:r w:rsidR="0098320C" w:rsidRPr="0085657E">
        <w:rPr>
          <w:rStyle w:val="normaltextrun"/>
          <w:rFonts w:ascii="Arial" w:hAnsi="Arial" w:cs="Arial"/>
          <w:b/>
          <w:bCs/>
          <w:sz w:val="21"/>
          <w:szCs w:val="21"/>
        </w:rPr>
        <w:t> </w:t>
      </w:r>
      <w:r w:rsidRPr="0085657E">
        <w:rPr>
          <w:rStyle w:val="normaltextrun"/>
          <w:rFonts w:ascii="Arial" w:hAnsi="Arial" w:cs="Arial"/>
          <w:b/>
          <w:bCs/>
          <w:sz w:val="21"/>
          <w:szCs w:val="21"/>
        </w:rPr>
        <w:t xml:space="preserve">%) </w:t>
      </w:r>
    </w:p>
    <w:p w14:paraId="51034270" w14:textId="0AEB9643" w:rsidR="003562DD" w:rsidRPr="0085657E" w:rsidRDefault="003562DD" w:rsidP="004D0E37">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85657E">
        <w:rPr>
          <w:rStyle w:val="normaltextrun"/>
          <w:rFonts w:ascii="Arial" w:hAnsi="Arial" w:cs="Arial"/>
          <w:b/>
          <w:bCs/>
          <w:sz w:val="21"/>
          <w:szCs w:val="21"/>
        </w:rPr>
        <w:t>EBITDA</w:t>
      </w:r>
      <w:r w:rsidR="008A3B40" w:rsidRPr="0085657E">
        <w:rPr>
          <w:rStyle w:val="normaltextrun"/>
          <w:rFonts w:ascii="Arial" w:hAnsi="Arial" w:cs="Arial"/>
          <w:b/>
          <w:bCs/>
          <w:sz w:val="21"/>
          <w:szCs w:val="21"/>
        </w:rPr>
        <w:t xml:space="preserve"> </w:t>
      </w:r>
      <w:r w:rsidR="001E7997" w:rsidRPr="0085657E">
        <w:rPr>
          <w:rStyle w:val="normaltextrun"/>
          <w:rFonts w:ascii="Arial" w:hAnsi="Arial" w:cs="Arial"/>
          <w:b/>
          <w:bCs/>
          <w:sz w:val="21"/>
          <w:szCs w:val="21"/>
        </w:rPr>
        <w:t>wie prognostiziert</w:t>
      </w:r>
      <w:r w:rsidRPr="0085657E">
        <w:rPr>
          <w:rStyle w:val="normaltextrun"/>
          <w:rFonts w:ascii="Arial" w:hAnsi="Arial" w:cs="Arial"/>
          <w:b/>
          <w:bCs/>
          <w:sz w:val="21"/>
          <w:szCs w:val="21"/>
        </w:rPr>
        <w:t xml:space="preserve"> </w:t>
      </w:r>
      <w:r w:rsidR="00705A70" w:rsidRPr="0085657E">
        <w:rPr>
          <w:rStyle w:val="normaltextrun"/>
          <w:rFonts w:ascii="Arial" w:hAnsi="Arial" w:cs="Arial"/>
          <w:b/>
          <w:bCs/>
          <w:sz w:val="21"/>
          <w:szCs w:val="21"/>
        </w:rPr>
        <w:t xml:space="preserve">bei </w:t>
      </w:r>
      <w:r w:rsidR="0088334E" w:rsidRPr="0085657E">
        <w:rPr>
          <w:rStyle w:val="normaltextrun"/>
          <w:rFonts w:ascii="Arial" w:hAnsi="Arial" w:cs="Arial"/>
          <w:b/>
          <w:bCs/>
          <w:sz w:val="21"/>
          <w:szCs w:val="21"/>
        </w:rPr>
        <w:t xml:space="preserve">rund </w:t>
      </w:r>
      <w:r w:rsidRPr="0085657E">
        <w:rPr>
          <w:rStyle w:val="normaltextrun"/>
          <w:rFonts w:ascii="Arial" w:hAnsi="Arial" w:cs="Arial"/>
          <w:b/>
          <w:bCs/>
          <w:sz w:val="21"/>
          <w:szCs w:val="21"/>
        </w:rPr>
        <w:t>1,5 Mrd. Euro (</w:t>
      </w:r>
      <w:r w:rsidR="00BF539E" w:rsidRPr="0085657E">
        <w:rPr>
          <w:rStyle w:val="normaltextrun"/>
          <w:rFonts w:ascii="Arial" w:hAnsi="Arial" w:cs="Arial"/>
          <w:b/>
          <w:bCs/>
          <w:sz w:val="21"/>
          <w:szCs w:val="21"/>
        </w:rPr>
        <w:t>–8,2</w:t>
      </w:r>
      <w:r w:rsidR="0098320C" w:rsidRPr="0085657E">
        <w:rPr>
          <w:rStyle w:val="normaltextrun"/>
          <w:rFonts w:ascii="Arial" w:hAnsi="Arial" w:cs="Arial"/>
          <w:b/>
          <w:bCs/>
          <w:sz w:val="21"/>
          <w:szCs w:val="21"/>
        </w:rPr>
        <w:t> </w:t>
      </w:r>
      <w:r w:rsidRPr="0085657E">
        <w:rPr>
          <w:rStyle w:val="normaltextrun"/>
          <w:rFonts w:ascii="Arial" w:hAnsi="Arial" w:cs="Arial"/>
          <w:b/>
          <w:bCs/>
          <w:sz w:val="21"/>
          <w:szCs w:val="21"/>
        </w:rPr>
        <w:t>%)</w:t>
      </w:r>
      <w:r w:rsidR="00B84DBC" w:rsidRPr="0085657E">
        <w:rPr>
          <w:rStyle w:val="normaltextrun"/>
          <w:rFonts w:ascii="Arial" w:hAnsi="Arial" w:cs="Arial"/>
          <w:b/>
          <w:bCs/>
          <w:sz w:val="21"/>
          <w:szCs w:val="21"/>
        </w:rPr>
        <w:t xml:space="preserve"> </w:t>
      </w:r>
    </w:p>
    <w:p w14:paraId="0AF04B54" w14:textId="475657C1" w:rsidR="00F07CCD" w:rsidRPr="0085657E" w:rsidRDefault="007635EF" w:rsidP="004D0E37">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9B3B22">
        <w:rPr>
          <w:rStyle w:val="normaltextrun"/>
          <w:rFonts w:ascii="Arial" w:hAnsi="Arial" w:cs="Arial"/>
          <w:b/>
          <w:bCs/>
          <w:sz w:val="21"/>
          <w:szCs w:val="21"/>
          <w:lang w:val="en-US"/>
        </w:rPr>
        <w:t>Free Operating Cash</w:t>
      </w:r>
      <w:r w:rsidR="00544CA7" w:rsidRPr="009B3B22">
        <w:rPr>
          <w:rStyle w:val="normaltextrun"/>
          <w:rFonts w:ascii="Arial" w:hAnsi="Arial" w:cs="Arial"/>
          <w:b/>
          <w:bCs/>
          <w:sz w:val="21"/>
          <w:szCs w:val="21"/>
          <w:lang w:val="en-US"/>
        </w:rPr>
        <w:t xml:space="preserve"> F</w:t>
      </w:r>
      <w:r w:rsidRPr="009B3B22">
        <w:rPr>
          <w:rStyle w:val="normaltextrun"/>
          <w:rFonts w:ascii="Arial" w:hAnsi="Arial" w:cs="Arial"/>
          <w:b/>
          <w:bCs/>
          <w:sz w:val="21"/>
          <w:szCs w:val="21"/>
          <w:lang w:val="en-US"/>
        </w:rPr>
        <w:t>low</w:t>
      </w:r>
      <w:r w:rsidR="0046659C" w:rsidRPr="009B3B22">
        <w:rPr>
          <w:rStyle w:val="normaltextrun"/>
          <w:rFonts w:ascii="Arial" w:hAnsi="Arial" w:cs="Arial"/>
          <w:b/>
          <w:bCs/>
          <w:sz w:val="21"/>
          <w:szCs w:val="21"/>
          <w:lang w:val="en-US"/>
        </w:rPr>
        <w:t xml:space="preserve"> </w:t>
      </w:r>
      <w:r w:rsidR="00BD7E52" w:rsidRPr="009B3B22">
        <w:rPr>
          <w:rStyle w:val="normaltextrun"/>
          <w:rFonts w:ascii="Arial" w:hAnsi="Arial" w:cs="Arial"/>
          <w:b/>
          <w:bCs/>
          <w:sz w:val="21"/>
          <w:szCs w:val="21"/>
          <w:lang w:val="en-US"/>
        </w:rPr>
        <w:t xml:space="preserve">auf </w:t>
      </w:r>
      <w:r w:rsidR="0046659C" w:rsidRPr="009B3B22">
        <w:rPr>
          <w:rStyle w:val="normaltextrun"/>
          <w:rFonts w:ascii="Arial" w:hAnsi="Arial" w:cs="Arial"/>
          <w:b/>
          <w:bCs/>
          <w:sz w:val="21"/>
          <w:szCs w:val="21"/>
          <w:lang w:val="en-US"/>
        </w:rPr>
        <w:t xml:space="preserve">530 Mio. </w:t>
      </w:r>
      <w:r w:rsidR="0046659C" w:rsidRPr="0085657E">
        <w:rPr>
          <w:rStyle w:val="normaltextrun"/>
          <w:rFonts w:ascii="Arial" w:hAnsi="Arial" w:cs="Arial"/>
          <w:b/>
          <w:bCs/>
          <w:sz w:val="21"/>
          <w:szCs w:val="21"/>
        </w:rPr>
        <w:t>Euro</w:t>
      </w:r>
      <w:r w:rsidR="00BD7E52" w:rsidRPr="0085657E">
        <w:rPr>
          <w:rStyle w:val="normaltextrun"/>
          <w:rFonts w:ascii="Arial" w:hAnsi="Arial" w:cs="Arial"/>
          <w:b/>
          <w:bCs/>
          <w:sz w:val="21"/>
          <w:szCs w:val="21"/>
        </w:rPr>
        <w:t xml:space="preserve"> erhöht</w:t>
      </w:r>
      <w:r w:rsidR="0046659C" w:rsidRPr="0085657E">
        <w:rPr>
          <w:rStyle w:val="normaltextrun"/>
          <w:rFonts w:ascii="Arial" w:hAnsi="Arial" w:cs="Arial"/>
          <w:b/>
          <w:bCs/>
          <w:sz w:val="21"/>
          <w:szCs w:val="21"/>
        </w:rPr>
        <w:t xml:space="preserve"> (+</w:t>
      </w:r>
      <w:r w:rsidR="00BD7E52" w:rsidRPr="0085657E">
        <w:rPr>
          <w:rStyle w:val="normaltextrun"/>
          <w:rFonts w:ascii="Arial" w:hAnsi="Arial" w:cs="Arial"/>
          <w:b/>
          <w:bCs/>
          <w:sz w:val="21"/>
          <w:szCs w:val="21"/>
        </w:rPr>
        <w:t>12,1</w:t>
      </w:r>
      <w:r w:rsidR="003F48C8" w:rsidRPr="0085657E">
        <w:rPr>
          <w:rStyle w:val="normaltextrun"/>
          <w:rFonts w:ascii="Arial" w:hAnsi="Arial" w:cs="Arial"/>
          <w:b/>
          <w:bCs/>
          <w:sz w:val="21"/>
          <w:szCs w:val="21"/>
        </w:rPr>
        <w:t> </w:t>
      </w:r>
      <w:r w:rsidR="00BD7E52" w:rsidRPr="0085657E">
        <w:rPr>
          <w:rStyle w:val="normaltextrun"/>
          <w:rFonts w:ascii="Arial" w:hAnsi="Arial" w:cs="Arial"/>
          <w:b/>
          <w:bCs/>
          <w:sz w:val="21"/>
          <w:szCs w:val="21"/>
        </w:rPr>
        <w:t>%)</w:t>
      </w:r>
      <w:r w:rsidR="0046659C" w:rsidRPr="0085657E">
        <w:rPr>
          <w:rStyle w:val="normaltextrun"/>
          <w:rFonts w:ascii="Arial" w:hAnsi="Arial" w:cs="Arial"/>
          <w:b/>
          <w:bCs/>
          <w:sz w:val="21"/>
          <w:szCs w:val="21"/>
        </w:rPr>
        <w:t xml:space="preserve"> </w:t>
      </w:r>
    </w:p>
    <w:p w14:paraId="2334082F" w14:textId="09057B27" w:rsidR="00B74AC4" w:rsidRPr="0085657E" w:rsidRDefault="00B74AC4" w:rsidP="004D0E37">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85657E">
        <w:rPr>
          <w:rStyle w:val="normaltextrun"/>
          <w:rFonts w:ascii="Arial" w:hAnsi="Arial" w:cs="Arial"/>
          <w:b/>
          <w:bCs/>
          <w:sz w:val="21"/>
          <w:szCs w:val="21"/>
        </w:rPr>
        <w:t>Dividende</w:t>
      </w:r>
      <w:r w:rsidR="0087723C" w:rsidRPr="0085657E">
        <w:rPr>
          <w:rStyle w:val="normaltextrun"/>
          <w:rFonts w:ascii="Arial" w:hAnsi="Arial" w:cs="Arial"/>
          <w:b/>
          <w:bCs/>
          <w:sz w:val="21"/>
          <w:szCs w:val="21"/>
        </w:rPr>
        <w:t xml:space="preserve"> in Höhe von </w:t>
      </w:r>
      <w:r w:rsidR="00F41F3B" w:rsidRPr="0085657E">
        <w:rPr>
          <w:rStyle w:val="normaltextrun"/>
          <w:rFonts w:ascii="Arial" w:hAnsi="Arial" w:cs="Arial"/>
          <w:b/>
          <w:bCs/>
          <w:sz w:val="21"/>
          <w:szCs w:val="21"/>
        </w:rPr>
        <w:t>1</w:t>
      </w:r>
      <w:r w:rsidR="0087723C" w:rsidRPr="0085657E">
        <w:rPr>
          <w:rStyle w:val="normaltextrun"/>
          <w:rFonts w:ascii="Arial" w:hAnsi="Arial" w:cs="Arial"/>
          <w:b/>
          <w:bCs/>
          <w:sz w:val="21"/>
          <w:szCs w:val="21"/>
        </w:rPr>
        <w:t>,</w:t>
      </w:r>
      <w:r w:rsidR="00F41F3B" w:rsidRPr="0085657E">
        <w:rPr>
          <w:rStyle w:val="normaltextrun"/>
          <w:rFonts w:ascii="Arial" w:hAnsi="Arial" w:cs="Arial"/>
          <w:b/>
          <w:bCs/>
          <w:sz w:val="21"/>
          <w:szCs w:val="21"/>
        </w:rPr>
        <w:t>30</w:t>
      </w:r>
      <w:r w:rsidR="0087723C" w:rsidRPr="0085657E">
        <w:rPr>
          <w:rStyle w:val="normaltextrun"/>
          <w:rFonts w:ascii="Arial" w:hAnsi="Arial" w:cs="Arial"/>
          <w:b/>
          <w:bCs/>
          <w:sz w:val="21"/>
          <w:szCs w:val="21"/>
        </w:rPr>
        <w:t xml:space="preserve"> Euro</w:t>
      </w:r>
      <w:r w:rsidR="00116838" w:rsidRPr="0085657E">
        <w:rPr>
          <w:rStyle w:val="normaltextrun"/>
          <w:rFonts w:ascii="Arial" w:hAnsi="Arial" w:cs="Arial"/>
          <w:b/>
          <w:bCs/>
          <w:sz w:val="21"/>
          <w:szCs w:val="21"/>
        </w:rPr>
        <w:t xml:space="preserve">, </w:t>
      </w:r>
      <w:r w:rsidR="0021270E" w:rsidRPr="0085657E">
        <w:rPr>
          <w:rStyle w:val="normaltextrun"/>
          <w:rFonts w:ascii="Arial" w:hAnsi="Arial" w:cs="Arial"/>
          <w:b/>
          <w:bCs/>
          <w:sz w:val="21"/>
          <w:szCs w:val="21"/>
        </w:rPr>
        <w:t>neue Dividen</w:t>
      </w:r>
      <w:r w:rsidR="00116838" w:rsidRPr="0085657E">
        <w:rPr>
          <w:rStyle w:val="normaltextrun"/>
          <w:rFonts w:ascii="Arial" w:hAnsi="Arial" w:cs="Arial"/>
          <w:b/>
          <w:bCs/>
          <w:sz w:val="21"/>
          <w:szCs w:val="21"/>
        </w:rPr>
        <w:t xml:space="preserve">denpolitik </w:t>
      </w:r>
    </w:p>
    <w:p w14:paraId="05189783" w14:textId="438684AA" w:rsidR="003562DD" w:rsidRPr="0085657E" w:rsidRDefault="00DB72FA" w:rsidP="004D0E37">
      <w:pPr>
        <w:pStyle w:val="paragraph"/>
        <w:numPr>
          <w:ilvl w:val="0"/>
          <w:numId w:val="5"/>
        </w:numPr>
        <w:spacing w:before="0" w:beforeAutospacing="0" w:after="0" w:afterAutospacing="0" w:line="300" w:lineRule="atLeast"/>
        <w:ind w:left="357" w:firstLine="0"/>
        <w:textAlignment w:val="baseline"/>
        <w:rPr>
          <w:rStyle w:val="normaltextrun"/>
          <w:b/>
          <w:bCs/>
        </w:rPr>
      </w:pPr>
      <w:r w:rsidRPr="0085657E">
        <w:rPr>
          <w:rStyle w:val="normaltextrun"/>
          <w:rFonts w:ascii="Arial" w:hAnsi="Arial" w:cs="Arial"/>
          <w:b/>
          <w:bCs/>
          <w:sz w:val="21"/>
          <w:szCs w:val="21"/>
        </w:rPr>
        <w:t>Neuausrichtung</w:t>
      </w:r>
      <w:r w:rsidR="003562DD" w:rsidRPr="0085657E">
        <w:rPr>
          <w:rStyle w:val="normaltextrun"/>
          <w:rFonts w:ascii="Arial" w:hAnsi="Arial" w:cs="Arial"/>
          <w:b/>
          <w:bCs/>
          <w:sz w:val="21"/>
          <w:szCs w:val="21"/>
        </w:rPr>
        <w:t xml:space="preserve"> </w:t>
      </w:r>
      <w:r w:rsidR="002E60B0" w:rsidRPr="0085657E">
        <w:rPr>
          <w:rStyle w:val="normaltextrun"/>
          <w:rFonts w:ascii="Arial" w:hAnsi="Arial" w:cs="Arial"/>
          <w:b/>
          <w:bCs/>
          <w:sz w:val="21"/>
          <w:szCs w:val="21"/>
        </w:rPr>
        <w:t xml:space="preserve">der </w:t>
      </w:r>
      <w:r w:rsidR="003562DD" w:rsidRPr="0085657E">
        <w:rPr>
          <w:rStyle w:val="normaltextrun"/>
          <w:rFonts w:ascii="Arial" w:hAnsi="Arial" w:cs="Arial"/>
          <w:b/>
          <w:bCs/>
          <w:sz w:val="21"/>
          <w:szCs w:val="21"/>
        </w:rPr>
        <w:t>Strategie</w:t>
      </w:r>
      <w:r w:rsidR="001B26E4" w:rsidRPr="0085657E">
        <w:rPr>
          <w:rStyle w:val="normaltextrun"/>
          <w:rFonts w:ascii="Arial" w:hAnsi="Arial" w:cs="Arial"/>
          <w:b/>
          <w:bCs/>
          <w:sz w:val="21"/>
          <w:szCs w:val="21"/>
        </w:rPr>
        <w:t xml:space="preserve"> auf Weg zur</w:t>
      </w:r>
      <w:r w:rsidR="003562DD" w:rsidRPr="0085657E">
        <w:rPr>
          <w:rStyle w:val="normaltextrun"/>
          <w:rFonts w:ascii="Arial" w:hAnsi="Arial" w:cs="Arial"/>
          <w:b/>
          <w:bCs/>
          <w:sz w:val="21"/>
          <w:szCs w:val="21"/>
        </w:rPr>
        <w:t xml:space="preserve"> Kreislaufwirtschaft</w:t>
      </w:r>
    </w:p>
    <w:p w14:paraId="73609568" w14:textId="69D90CC6" w:rsidR="00FF609E" w:rsidRPr="0085657E" w:rsidRDefault="003562DD" w:rsidP="004D0E37">
      <w:pPr>
        <w:pStyle w:val="paragraph"/>
        <w:numPr>
          <w:ilvl w:val="0"/>
          <w:numId w:val="5"/>
        </w:numPr>
        <w:spacing w:before="0" w:beforeAutospacing="0" w:after="0" w:afterAutospacing="0" w:line="300" w:lineRule="atLeast"/>
        <w:ind w:left="360" w:firstLine="0"/>
        <w:textAlignment w:val="baseline"/>
        <w:rPr>
          <w:rStyle w:val="normaltextrun"/>
          <w:b/>
        </w:rPr>
      </w:pPr>
      <w:r w:rsidRPr="0085657E">
        <w:rPr>
          <w:rStyle w:val="normaltextrun"/>
          <w:rFonts w:ascii="Arial" w:hAnsi="Arial" w:cs="Arial"/>
          <w:b/>
          <w:bCs/>
          <w:sz w:val="21"/>
          <w:szCs w:val="21"/>
        </w:rPr>
        <w:t xml:space="preserve">2021: </w:t>
      </w:r>
      <w:r w:rsidR="003F48C8" w:rsidRPr="0085657E">
        <w:rPr>
          <w:rStyle w:val="normaltextrun"/>
          <w:rFonts w:ascii="Arial" w:hAnsi="Arial" w:cs="Arial"/>
          <w:b/>
          <w:bCs/>
          <w:sz w:val="21"/>
          <w:szCs w:val="21"/>
        </w:rPr>
        <w:t>Ergebnisse</w:t>
      </w:r>
      <w:r w:rsidR="008C0D35" w:rsidRPr="0085657E">
        <w:rPr>
          <w:rStyle w:val="normaltextrun"/>
          <w:rFonts w:ascii="Arial" w:hAnsi="Arial" w:cs="Arial"/>
          <w:b/>
          <w:bCs/>
          <w:sz w:val="21"/>
          <w:szCs w:val="21"/>
        </w:rPr>
        <w:t xml:space="preserve"> über Vor-Pandemie-Niveau 2019 erwartet</w:t>
      </w:r>
    </w:p>
    <w:p w14:paraId="418B0510" w14:textId="77777777" w:rsidR="008C0D35" w:rsidRPr="0085657E" w:rsidRDefault="008C0D35" w:rsidP="004D0E37">
      <w:pPr>
        <w:pStyle w:val="paragraph"/>
        <w:spacing w:before="0" w:beforeAutospacing="0" w:after="0" w:afterAutospacing="0" w:line="300" w:lineRule="atLeast"/>
        <w:ind w:left="360"/>
        <w:textAlignment w:val="baseline"/>
        <w:rPr>
          <w:b/>
        </w:rPr>
      </w:pPr>
    </w:p>
    <w:p w14:paraId="38F9DE13" w14:textId="199F4D7D" w:rsidR="00F54002" w:rsidRPr="00544299" w:rsidRDefault="008A07E6" w:rsidP="004D0E37">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 xml:space="preserve">Covestro </w:t>
      </w:r>
      <w:r w:rsidR="002E60B0" w:rsidRPr="0085657E">
        <w:rPr>
          <w:rFonts w:ascii="Arial" w:hAnsi="Arial" w:cs="Arial"/>
          <w:sz w:val="21"/>
          <w:szCs w:val="21"/>
        </w:rPr>
        <w:t>hat das Ausnahmejahr 2020 stark abgeschlossen</w:t>
      </w:r>
      <w:r w:rsidR="0015160C" w:rsidRPr="0085657E">
        <w:rPr>
          <w:rFonts w:ascii="Arial" w:hAnsi="Arial" w:cs="Arial"/>
          <w:sz w:val="21"/>
          <w:szCs w:val="21"/>
        </w:rPr>
        <w:t xml:space="preserve"> und vor allem </w:t>
      </w:r>
      <w:r w:rsidR="00FC7EC9" w:rsidRPr="0085657E">
        <w:rPr>
          <w:rFonts w:ascii="Arial" w:hAnsi="Arial" w:cs="Arial"/>
          <w:sz w:val="21"/>
          <w:szCs w:val="21"/>
        </w:rPr>
        <w:t>in der zweiten Jahreshälfte von seinem konsequenten Krisenmanagement und der Erholung der Nachfrage profitiert.</w:t>
      </w:r>
      <w:r w:rsidR="00D02425" w:rsidRPr="0085657E">
        <w:rPr>
          <w:rFonts w:ascii="Arial" w:hAnsi="Arial" w:cs="Arial"/>
          <w:sz w:val="21"/>
          <w:szCs w:val="21"/>
        </w:rPr>
        <w:t xml:space="preserve"> </w:t>
      </w:r>
      <w:r w:rsidR="000C66E7" w:rsidRPr="0085657E">
        <w:rPr>
          <w:rFonts w:ascii="Arial" w:hAnsi="Arial" w:cs="Arial"/>
          <w:sz w:val="21"/>
          <w:szCs w:val="21"/>
        </w:rPr>
        <w:t>Trotz</w:t>
      </w:r>
      <w:r w:rsidR="000C66E7">
        <w:rPr>
          <w:rFonts w:ascii="Arial" w:hAnsi="Arial" w:cs="Arial"/>
          <w:sz w:val="21"/>
          <w:szCs w:val="21"/>
        </w:rPr>
        <w:t xml:space="preserve"> </w:t>
      </w:r>
      <w:r w:rsidR="0035164C">
        <w:rPr>
          <w:rFonts w:ascii="Arial" w:hAnsi="Arial" w:cs="Arial"/>
          <w:sz w:val="21"/>
          <w:szCs w:val="21"/>
        </w:rPr>
        <w:t>s</w:t>
      </w:r>
      <w:r w:rsidR="000C66E7">
        <w:rPr>
          <w:rFonts w:ascii="Arial" w:hAnsi="Arial" w:cs="Arial"/>
          <w:sz w:val="21"/>
          <w:szCs w:val="21"/>
        </w:rPr>
        <w:t>eines</w:t>
      </w:r>
      <w:r w:rsidR="00BD7E52">
        <w:rPr>
          <w:rFonts w:ascii="Arial" w:hAnsi="Arial" w:cs="Arial"/>
          <w:sz w:val="21"/>
          <w:szCs w:val="21"/>
        </w:rPr>
        <w:t xml:space="preserve"> sehr</w:t>
      </w:r>
      <w:r w:rsidR="000C66E7">
        <w:rPr>
          <w:rFonts w:ascii="Arial" w:hAnsi="Arial" w:cs="Arial"/>
          <w:sz w:val="21"/>
          <w:szCs w:val="21"/>
        </w:rPr>
        <w:t xml:space="preserve"> </w:t>
      </w:r>
      <w:r w:rsidR="001A0754">
        <w:rPr>
          <w:rFonts w:ascii="Arial" w:hAnsi="Arial" w:cs="Arial"/>
          <w:sz w:val="21"/>
          <w:szCs w:val="21"/>
        </w:rPr>
        <w:t xml:space="preserve">erfolgreichen </w:t>
      </w:r>
      <w:r w:rsidR="000C66E7">
        <w:rPr>
          <w:rFonts w:ascii="Arial" w:hAnsi="Arial" w:cs="Arial"/>
          <w:sz w:val="21"/>
          <w:szCs w:val="21"/>
        </w:rPr>
        <w:t>vier</w:t>
      </w:r>
      <w:r w:rsidR="0015160C">
        <w:rPr>
          <w:rFonts w:ascii="Arial" w:hAnsi="Arial" w:cs="Arial"/>
          <w:sz w:val="21"/>
          <w:szCs w:val="21"/>
        </w:rPr>
        <w:t>t</w:t>
      </w:r>
      <w:r w:rsidR="000C66E7">
        <w:rPr>
          <w:rFonts w:ascii="Arial" w:hAnsi="Arial" w:cs="Arial"/>
          <w:sz w:val="21"/>
          <w:szCs w:val="21"/>
        </w:rPr>
        <w:t>en Quartals</w:t>
      </w:r>
      <w:r w:rsidR="00D02425">
        <w:rPr>
          <w:rFonts w:ascii="Arial" w:hAnsi="Arial" w:cs="Arial"/>
          <w:sz w:val="21"/>
          <w:szCs w:val="21"/>
        </w:rPr>
        <w:t xml:space="preserve"> konnte</w:t>
      </w:r>
      <w:r w:rsidR="00957D43">
        <w:rPr>
          <w:rFonts w:ascii="Arial" w:hAnsi="Arial" w:cs="Arial"/>
          <w:sz w:val="21"/>
          <w:szCs w:val="21"/>
        </w:rPr>
        <w:t xml:space="preserve"> </w:t>
      </w:r>
      <w:r w:rsidR="000C66E7">
        <w:rPr>
          <w:rFonts w:ascii="Arial" w:hAnsi="Arial" w:cs="Arial"/>
          <w:sz w:val="21"/>
          <w:szCs w:val="21"/>
        </w:rPr>
        <w:t xml:space="preserve">der Konzern </w:t>
      </w:r>
      <w:r w:rsidR="00957D43">
        <w:rPr>
          <w:rFonts w:ascii="Arial" w:hAnsi="Arial" w:cs="Arial"/>
          <w:sz w:val="21"/>
          <w:szCs w:val="21"/>
        </w:rPr>
        <w:t xml:space="preserve">die </w:t>
      </w:r>
      <w:r w:rsidR="00B525BD">
        <w:rPr>
          <w:rFonts w:ascii="Arial" w:hAnsi="Arial" w:cs="Arial"/>
          <w:sz w:val="21"/>
          <w:szCs w:val="21"/>
        </w:rPr>
        <w:t>massiven</w:t>
      </w:r>
      <w:r w:rsidR="00B23349">
        <w:rPr>
          <w:rFonts w:ascii="Arial" w:hAnsi="Arial" w:cs="Arial"/>
          <w:sz w:val="21"/>
          <w:szCs w:val="21"/>
        </w:rPr>
        <w:t>,</w:t>
      </w:r>
      <w:r w:rsidR="00B525BD">
        <w:rPr>
          <w:rFonts w:ascii="Arial" w:hAnsi="Arial" w:cs="Arial"/>
          <w:sz w:val="21"/>
          <w:szCs w:val="21"/>
        </w:rPr>
        <w:t xml:space="preserve"> pandemiebedingten </w:t>
      </w:r>
      <w:r w:rsidR="00957D43">
        <w:rPr>
          <w:rFonts w:ascii="Arial" w:hAnsi="Arial" w:cs="Arial"/>
          <w:sz w:val="21"/>
          <w:szCs w:val="21"/>
        </w:rPr>
        <w:t xml:space="preserve">Einschnitte </w:t>
      </w:r>
      <w:r w:rsidR="00B23349">
        <w:rPr>
          <w:rFonts w:ascii="Arial" w:hAnsi="Arial" w:cs="Arial"/>
          <w:sz w:val="21"/>
          <w:szCs w:val="21"/>
        </w:rPr>
        <w:t xml:space="preserve">aus dem </w:t>
      </w:r>
      <w:r w:rsidR="00B23349" w:rsidRPr="00544299">
        <w:rPr>
          <w:rFonts w:ascii="Arial" w:hAnsi="Arial" w:cs="Arial"/>
          <w:sz w:val="21"/>
          <w:szCs w:val="21"/>
        </w:rPr>
        <w:t>ersten Halbjahr</w:t>
      </w:r>
      <w:r w:rsidR="00B525BD" w:rsidRPr="00544299">
        <w:rPr>
          <w:rFonts w:ascii="Arial" w:hAnsi="Arial" w:cs="Arial"/>
          <w:sz w:val="21"/>
          <w:szCs w:val="21"/>
        </w:rPr>
        <w:t xml:space="preserve"> </w:t>
      </w:r>
      <w:r w:rsidR="00957D43" w:rsidRPr="00544299">
        <w:rPr>
          <w:rFonts w:ascii="Arial" w:hAnsi="Arial" w:cs="Arial"/>
          <w:sz w:val="21"/>
          <w:szCs w:val="21"/>
        </w:rPr>
        <w:t>nicht vollständig ausgleichen.</w:t>
      </w:r>
      <w:r w:rsidR="00FC7EC9" w:rsidRPr="00544299">
        <w:rPr>
          <w:rFonts w:ascii="Arial" w:hAnsi="Arial" w:cs="Arial"/>
          <w:sz w:val="21"/>
          <w:szCs w:val="21"/>
        </w:rPr>
        <w:t xml:space="preserve"> </w:t>
      </w:r>
      <w:r w:rsidR="008E215D" w:rsidRPr="00544299">
        <w:rPr>
          <w:rFonts w:ascii="Arial" w:hAnsi="Arial" w:cs="Arial"/>
          <w:sz w:val="21"/>
          <w:szCs w:val="21"/>
        </w:rPr>
        <w:t>Im Ges</w:t>
      </w:r>
      <w:r w:rsidR="0070056D" w:rsidRPr="00544299">
        <w:rPr>
          <w:rFonts w:ascii="Arial" w:hAnsi="Arial" w:cs="Arial"/>
          <w:sz w:val="21"/>
          <w:szCs w:val="21"/>
        </w:rPr>
        <w:t>amtj</w:t>
      </w:r>
      <w:r w:rsidR="008E215D" w:rsidRPr="00544299">
        <w:rPr>
          <w:rFonts w:ascii="Arial" w:hAnsi="Arial" w:cs="Arial"/>
          <w:sz w:val="21"/>
          <w:szCs w:val="21"/>
        </w:rPr>
        <w:t>ahr 2020 sanken die abgesetzten Mengen im Kerngeschäft auf Konzernebene um 5,6</w:t>
      </w:r>
      <w:r w:rsidR="00626428" w:rsidRPr="00544299">
        <w:rPr>
          <w:rFonts w:ascii="Arial" w:hAnsi="Arial" w:cs="Arial"/>
          <w:sz w:val="21"/>
          <w:szCs w:val="21"/>
        </w:rPr>
        <w:t> </w:t>
      </w:r>
      <w:r w:rsidR="008E215D" w:rsidRPr="00544299">
        <w:rPr>
          <w:rFonts w:ascii="Arial" w:hAnsi="Arial" w:cs="Arial"/>
          <w:sz w:val="21"/>
          <w:szCs w:val="21"/>
        </w:rPr>
        <w:t xml:space="preserve">% im Vergleich zum Vorjahreszeitraum. </w:t>
      </w:r>
      <w:r w:rsidR="0019282C" w:rsidRPr="00544299">
        <w:rPr>
          <w:rFonts w:ascii="Arial" w:hAnsi="Arial" w:cs="Arial"/>
          <w:sz w:val="21"/>
          <w:szCs w:val="21"/>
        </w:rPr>
        <w:t>Auch d</w:t>
      </w:r>
      <w:r w:rsidRPr="00544299">
        <w:rPr>
          <w:rFonts w:ascii="Arial" w:hAnsi="Arial" w:cs="Arial"/>
          <w:sz w:val="21"/>
          <w:szCs w:val="21"/>
        </w:rPr>
        <w:t>er Konzernumsatz</w:t>
      </w:r>
      <w:r w:rsidR="00223584" w:rsidRPr="00544299">
        <w:rPr>
          <w:rFonts w:ascii="Arial" w:hAnsi="Arial" w:cs="Arial"/>
          <w:sz w:val="21"/>
          <w:szCs w:val="21"/>
        </w:rPr>
        <w:t xml:space="preserve"> </w:t>
      </w:r>
      <w:r w:rsidR="00D855C1" w:rsidRPr="00544299">
        <w:rPr>
          <w:rFonts w:ascii="Arial" w:hAnsi="Arial" w:cs="Arial"/>
          <w:sz w:val="21"/>
          <w:szCs w:val="21"/>
        </w:rPr>
        <w:t>ist</w:t>
      </w:r>
      <w:r w:rsidR="007B6F98" w:rsidRPr="00544299">
        <w:rPr>
          <w:rFonts w:ascii="Arial" w:hAnsi="Arial" w:cs="Arial"/>
          <w:sz w:val="21"/>
          <w:szCs w:val="21"/>
        </w:rPr>
        <w:t xml:space="preserve"> </w:t>
      </w:r>
      <w:r w:rsidR="00577F18" w:rsidRPr="00544299">
        <w:rPr>
          <w:rFonts w:ascii="Arial" w:hAnsi="Arial" w:cs="Arial"/>
          <w:sz w:val="21"/>
          <w:szCs w:val="21"/>
        </w:rPr>
        <w:t xml:space="preserve">mit </w:t>
      </w:r>
      <w:r w:rsidRPr="00544299">
        <w:rPr>
          <w:rFonts w:ascii="Arial" w:hAnsi="Arial" w:cs="Arial"/>
          <w:sz w:val="21"/>
          <w:szCs w:val="21"/>
        </w:rPr>
        <w:t>rund 10,7</w:t>
      </w:r>
      <w:r w:rsidR="00626428" w:rsidRPr="00544299">
        <w:rPr>
          <w:rFonts w:ascii="Arial" w:hAnsi="Arial" w:cs="Arial"/>
          <w:sz w:val="21"/>
          <w:szCs w:val="21"/>
        </w:rPr>
        <w:t> </w:t>
      </w:r>
      <w:r w:rsidRPr="00544299">
        <w:rPr>
          <w:rFonts w:ascii="Arial" w:hAnsi="Arial" w:cs="Arial"/>
          <w:sz w:val="21"/>
          <w:szCs w:val="21"/>
        </w:rPr>
        <w:t>Mrd. Euro</w:t>
      </w:r>
      <w:r w:rsidR="00435BEF" w:rsidRPr="00544299">
        <w:rPr>
          <w:rFonts w:ascii="Arial" w:hAnsi="Arial" w:cs="Arial"/>
          <w:sz w:val="21"/>
          <w:szCs w:val="21"/>
        </w:rPr>
        <w:t xml:space="preserve"> um 13,7</w:t>
      </w:r>
      <w:r w:rsidR="00626428" w:rsidRPr="00544299">
        <w:rPr>
          <w:rFonts w:ascii="Arial" w:hAnsi="Arial" w:cs="Arial"/>
          <w:sz w:val="21"/>
          <w:szCs w:val="21"/>
        </w:rPr>
        <w:t> </w:t>
      </w:r>
      <w:r w:rsidR="00435BEF" w:rsidRPr="00544299">
        <w:rPr>
          <w:rFonts w:ascii="Arial" w:hAnsi="Arial" w:cs="Arial"/>
          <w:sz w:val="21"/>
          <w:szCs w:val="21"/>
        </w:rPr>
        <w:t xml:space="preserve">% </w:t>
      </w:r>
      <w:r w:rsidR="0027480A" w:rsidRPr="00544299">
        <w:rPr>
          <w:rFonts w:ascii="Arial" w:hAnsi="Arial" w:cs="Arial"/>
          <w:sz w:val="21"/>
          <w:szCs w:val="21"/>
        </w:rPr>
        <w:t>im V</w:t>
      </w:r>
      <w:r w:rsidR="001A5429" w:rsidRPr="00544299">
        <w:rPr>
          <w:rFonts w:ascii="Arial" w:hAnsi="Arial" w:cs="Arial"/>
          <w:sz w:val="21"/>
          <w:szCs w:val="21"/>
        </w:rPr>
        <w:t xml:space="preserve">orjahresvergleich </w:t>
      </w:r>
      <w:r w:rsidR="008927CC" w:rsidRPr="00544299">
        <w:rPr>
          <w:rFonts w:ascii="Arial" w:hAnsi="Arial" w:cs="Arial"/>
          <w:sz w:val="21"/>
          <w:szCs w:val="21"/>
        </w:rPr>
        <w:t>zurückgegangen</w:t>
      </w:r>
      <w:r w:rsidRPr="00544299">
        <w:rPr>
          <w:rFonts w:ascii="Arial" w:hAnsi="Arial" w:cs="Arial"/>
          <w:sz w:val="21"/>
          <w:szCs w:val="21"/>
        </w:rPr>
        <w:t xml:space="preserve">. </w:t>
      </w:r>
      <w:r w:rsidR="00CC3098">
        <w:rPr>
          <w:rFonts w:ascii="Arial" w:hAnsi="Arial" w:cs="Arial"/>
          <w:sz w:val="21"/>
          <w:szCs w:val="21"/>
        </w:rPr>
        <w:t xml:space="preserve">Mit </w:t>
      </w:r>
      <w:r w:rsidRPr="00544299">
        <w:rPr>
          <w:rFonts w:ascii="Arial" w:hAnsi="Arial" w:cs="Arial"/>
          <w:sz w:val="21"/>
          <w:szCs w:val="21"/>
        </w:rPr>
        <w:t>umfangreiche</w:t>
      </w:r>
      <w:r w:rsidR="00CC3098">
        <w:rPr>
          <w:rFonts w:ascii="Arial" w:hAnsi="Arial" w:cs="Arial"/>
          <w:sz w:val="21"/>
          <w:szCs w:val="21"/>
        </w:rPr>
        <w:t>n</w:t>
      </w:r>
      <w:r w:rsidRPr="00544299">
        <w:rPr>
          <w:rFonts w:ascii="Arial" w:hAnsi="Arial" w:cs="Arial"/>
          <w:sz w:val="21"/>
          <w:szCs w:val="21"/>
        </w:rPr>
        <w:t xml:space="preserve"> Maßnahmen zur Kosteneinsparung </w:t>
      </w:r>
      <w:r w:rsidR="00CA5F14">
        <w:rPr>
          <w:rFonts w:ascii="Arial" w:hAnsi="Arial" w:cs="Arial"/>
          <w:sz w:val="21"/>
          <w:szCs w:val="21"/>
        </w:rPr>
        <w:t>hat Covestro den</w:t>
      </w:r>
      <w:r w:rsidR="00C578EE" w:rsidRPr="00544299">
        <w:rPr>
          <w:rFonts w:ascii="Arial" w:hAnsi="Arial" w:cs="Arial"/>
          <w:sz w:val="21"/>
          <w:szCs w:val="21"/>
        </w:rPr>
        <w:t xml:space="preserve"> Rückgang im </w:t>
      </w:r>
      <w:r w:rsidRPr="00544299">
        <w:rPr>
          <w:rFonts w:ascii="Arial" w:hAnsi="Arial" w:cs="Arial"/>
          <w:sz w:val="21"/>
          <w:szCs w:val="21"/>
        </w:rPr>
        <w:t>EBITDA</w:t>
      </w:r>
      <w:r w:rsidR="00C578EE" w:rsidRPr="00544299">
        <w:rPr>
          <w:rFonts w:ascii="Arial" w:hAnsi="Arial" w:cs="Arial"/>
          <w:sz w:val="21"/>
          <w:szCs w:val="21"/>
        </w:rPr>
        <w:t xml:space="preserve"> auf 8,2</w:t>
      </w:r>
      <w:r w:rsidR="009A6175" w:rsidRPr="00544299">
        <w:rPr>
          <w:rFonts w:ascii="Arial" w:hAnsi="Arial" w:cs="Arial"/>
          <w:sz w:val="21"/>
          <w:szCs w:val="21"/>
        </w:rPr>
        <w:t> </w:t>
      </w:r>
      <w:r w:rsidR="00C578EE" w:rsidRPr="00544299">
        <w:rPr>
          <w:rFonts w:ascii="Arial" w:hAnsi="Arial" w:cs="Arial"/>
          <w:sz w:val="21"/>
          <w:szCs w:val="21"/>
        </w:rPr>
        <w:t xml:space="preserve">% im Jahresvergleich begrenzt </w:t>
      </w:r>
      <w:r w:rsidR="0048160C">
        <w:rPr>
          <w:rFonts w:ascii="Arial" w:hAnsi="Arial" w:cs="Arial"/>
          <w:sz w:val="21"/>
          <w:szCs w:val="21"/>
        </w:rPr>
        <w:t xml:space="preserve">und </w:t>
      </w:r>
      <w:r w:rsidR="00C578EE" w:rsidRPr="00544299">
        <w:rPr>
          <w:rFonts w:ascii="Arial" w:hAnsi="Arial" w:cs="Arial"/>
          <w:sz w:val="21"/>
          <w:szCs w:val="21"/>
        </w:rPr>
        <w:t xml:space="preserve">das Geschäftsjahr </w:t>
      </w:r>
      <w:r w:rsidR="00372A8F" w:rsidRPr="00544299">
        <w:rPr>
          <w:rFonts w:ascii="Arial" w:hAnsi="Arial" w:cs="Arial"/>
          <w:sz w:val="21"/>
          <w:szCs w:val="21"/>
        </w:rPr>
        <w:t xml:space="preserve">2020 </w:t>
      </w:r>
      <w:r w:rsidR="007B14BE" w:rsidRPr="00544299">
        <w:rPr>
          <w:rFonts w:ascii="Arial" w:hAnsi="Arial" w:cs="Arial"/>
          <w:sz w:val="21"/>
          <w:szCs w:val="21"/>
        </w:rPr>
        <w:t>wie prognostiziert</w:t>
      </w:r>
      <w:r w:rsidR="0027059F" w:rsidRPr="00544299">
        <w:rPr>
          <w:rFonts w:ascii="Arial" w:hAnsi="Arial" w:cs="Arial"/>
          <w:sz w:val="21"/>
          <w:szCs w:val="21"/>
        </w:rPr>
        <w:t xml:space="preserve"> </w:t>
      </w:r>
      <w:r w:rsidR="00C578EE" w:rsidRPr="00544299">
        <w:rPr>
          <w:rFonts w:ascii="Arial" w:hAnsi="Arial" w:cs="Arial"/>
          <w:sz w:val="21"/>
          <w:szCs w:val="21"/>
        </w:rPr>
        <w:t xml:space="preserve">mit </w:t>
      </w:r>
      <w:r w:rsidRPr="00544299">
        <w:rPr>
          <w:rFonts w:ascii="Arial" w:hAnsi="Arial" w:cs="Arial"/>
          <w:sz w:val="21"/>
          <w:szCs w:val="21"/>
        </w:rPr>
        <w:t>rund 1,5</w:t>
      </w:r>
      <w:r w:rsidR="009A6175" w:rsidRPr="00544299">
        <w:rPr>
          <w:rFonts w:ascii="Arial" w:hAnsi="Arial" w:cs="Arial"/>
          <w:sz w:val="21"/>
          <w:szCs w:val="21"/>
        </w:rPr>
        <w:t> </w:t>
      </w:r>
      <w:r w:rsidRPr="00544299">
        <w:rPr>
          <w:rFonts w:ascii="Arial" w:hAnsi="Arial" w:cs="Arial"/>
          <w:sz w:val="21"/>
          <w:szCs w:val="21"/>
        </w:rPr>
        <w:t>Mrd.</w:t>
      </w:r>
      <w:r w:rsidR="009A6175" w:rsidRPr="00544299">
        <w:rPr>
          <w:rFonts w:ascii="Arial" w:hAnsi="Arial" w:cs="Arial"/>
          <w:sz w:val="21"/>
          <w:szCs w:val="21"/>
        </w:rPr>
        <w:t xml:space="preserve"> </w:t>
      </w:r>
      <w:r w:rsidRPr="00544299">
        <w:rPr>
          <w:rFonts w:ascii="Arial" w:hAnsi="Arial" w:cs="Arial"/>
          <w:sz w:val="21"/>
          <w:szCs w:val="21"/>
        </w:rPr>
        <w:t>Euro</w:t>
      </w:r>
      <w:r w:rsidR="00DC7439" w:rsidRPr="00544299">
        <w:rPr>
          <w:rFonts w:ascii="Arial" w:hAnsi="Arial" w:cs="Arial"/>
          <w:sz w:val="21"/>
          <w:szCs w:val="21"/>
        </w:rPr>
        <w:t xml:space="preserve"> ab</w:t>
      </w:r>
      <w:r w:rsidR="00CA5F14">
        <w:rPr>
          <w:rFonts w:ascii="Arial" w:hAnsi="Arial" w:cs="Arial"/>
          <w:sz w:val="21"/>
          <w:szCs w:val="21"/>
        </w:rPr>
        <w:t>geschlossen</w:t>
      </w:r>
      <w:r w:rsidR="00D95299" w:rsidRPr="00544299">
        <w:rPr>
          <w:rFonts w:ascii="Arial" w:hAnsi="Arial" w:cs="Arial"/>
          <w:sz w:val="21"/>
          <w:szCs w:val="21"/>
        </w:rPr>
        <w:t xml:space="preserve"> </w:t>
      </w:r>
      <w:r w:rsidR="002C606C" w:rsidRPr="00544299">
        <w:rPr>
          <w:rFonts w:ascii="Arial" w:hAnsi="Arial" w:cs="Arial"/>
          <w:sz w:val="21"/>
          <w:szCs w:val="21"/>
        </w:rPr>
        <w:t>(</w:t>
      </w:r>
      <w:r w:rsidR="00DD69FD" w:rsidRPr="00544299">
        <w:rPr>
          <w:rFonts w:ascii="Arial" w:hAnsi="Arial" w:cs="Arial"/>
          <w:sz w:val="21"/>
          <w:szCs w:val="21"/>
        </w:rPr>
        <w:t>Vorjahr</w:t>
      </w:r>
      <w:r w:rsidR="00D63CD6" w:rsidRPr="00544299">
        <w:rPr>
          <w:rFonts w:ascii="Arial" w:hAnsi="Arial" w:cs="Arial"/>
          <w:sz w:val="21"/>
          <w:szCs w:val="21"/>
        </w:rPr>
        <w:t xml:space="preserve">: </w:t>
      </w:r>
      <w:r w:rsidR="00015EA8" w:rsidRPr="00544299">
        <w:rPr>
          <w:rFonts w:ascii="Arial" w:hAnsi="Arial" w:cs="Arial"/>
          <w:sz w:val="21"/>
          <w:szCs w:val="21"/>
        </w:rPr>
        <w:t xml:space="preserve">rund </w:t>
      </w:r>
      <w:r w:rsidR="002C606C" w:rsidRPr="00544299">
        <w:rPr>
          <w:rFonts w:ascii="Arial" w:hAnsi="Arial" w:cs="Arial"/>
          <w:sz w:val="21"/>
          <w:szCs w:val="21"/>
        </w:rPr>
        <w:t>1,6</w:t>
      </w:r>
      <w:r w:rsidR="00797749">
        <w:rPr>
          <w:rFonts w:ascii="Arial" w:hAnsi="Arial" w:cs="Arial"/>
          <w:sz w:val="21"/>
          <w:szCs w:val="21"/>
        </w:rPr>
        <w:t> </w:t>
      </w:r>
      <w:r w:rsidR="002C606C" w:rsidRPr="00544299">
        <w:rPr>
          <w:rFonts w:ascii="Arial" w:hAnsi="Arial" w:cs="Arial"/>
          <w:sz w:val="21"/>
          <w:szCs w:val="21"/>
        </w:rPr>
        <w:t>Mrd. Euro)</w:t>
      </w:r>
      <w:r w:rsidRPr="00544299">
        <w:rPr>
          <w:rFonts w:ascii="Arial" w:hAnsi="Arial" w:cs="Arial"/>
          <w:sz w:val="21"/>
          <w:szCs w:val="21"/>
        </w:rPr>
        <w:t>.</w:t>
      </w:r>
      <w:r w:rsidR="00474A2A" w:rsidRPr="00544299">
        <w:rPr>
          <w:rFonts w:ascii="Arial" w:hAnsi="Arial" w:cs="Arial"/>
          <w:sz w:val="21"/>
          <w:szCs w:val="21"/>
        </w:rPr>
        <w:t xml:space="preserve"> </w:t>
      </w:r>
      <w:r w:rsidR="00590A74" w:rsidRPr="00544299">
        <w:rPr>
          <w:rFonts w:ascii="Arial" w:hAnsi="Arial" w:cs="Arial"/>
          <w:sz w:val="21"/>
          <w:szCs w:val="21"/>
        </w:rPr>
        <w:t xml:space="preserve">Das </w:t>
      </w:r>
      <w:r w:rsidR="00474A2A" w:rsidRPr="00544299">
        <w:rPr>
          <w:rFonts w:ascii="Arial" w:hAnsi="Arial" w:cs="Arial"/>
          <w:sz w:val="21"/>
          <w:szCs w:val="21"/>
        </w:rPr>
        <w:t>Konzernergebnis</w:t>
      </w:r>
      <w:r w:rsidR="00590A74" w:rsidRPr="00544299">
        <w:rPr>
          <w:rFonts w:ascii="Arial" w:hAnsi="Arial" w:cs="Arial"/>
          <w:sz w:val="21"/>
          <w:szCs w:val="21"/>
        </w:rPr>
        <w:t xml:space="preserve"> </w:t>
      </w:r>
      <w:r w:rsidR="00371858" w:rsidRPr="00544299">
        <w:rPr>
          <w:rFonts w:ascii="Arial" w:hAnsi="Arial" w:cs="Arial"/>
          <w:sz w:val="21"/>
          <w:szCs w:val="21"/>
        </w:rPr>
        <w:t xml:space="preserve">erreichte </w:t>
      </w:r>
      <w:r w:rsidR="00130084" w:rsidRPr="00544299">
        <w:rPr>
          <w:rFonts w:ascii="Arial" w:hAnsi="Arial" w:cs="Arial"/>
          <w:sz w:val="21"/>
          <w:szCs w:val="21"/>
        </w:rPr>
        <w:t>4</w:t>
      </w:r>
      <w:r w:rsidR="00925BE3" w:rsidRPr="00544299">
        <w:rPr>
          <w:rFonts w:ascii="Arial" w:hAnsi="Arial" w:cs="Arial"/>
          <w:sz w:val="21"/>
          <w:szCs w:val="21"/>
        </w:rPr>
        <w:t>5</w:t>
      </w:r>
      <w:r w:rsidR="00130084" w:rsidRPr="00544299">
        <w:rPr>
          <w:rFonts w:ascii="Arial" w:hAnsi="Arial" w:cs="Arial"/>
          <w:sz w:val="21"/>
          <w:szCs w:val="21"/>
        </w:rPr>
        <w:t>9</w:t>
      </w:r>
      <w:r w:rsidR="009A6175" w:rsidRPr="00544299">
        <w:rPr>
          <w:rFonts w:ascii="Arial" w:hAnsi="Arial" w:cs="Arial"/>
          <w:sz w:val="21"/>
          <w:szCs w:val="21"/>
        </w:rPr>
        <w:t> </w:t>
      </w:r>
      <w:r w:rsidR="00130084" w:rsidRPr="00544299">
        <w:rPr>
          <w:rFonts w:ascii="Arial" w:hAnsi="Arial" w:cs="Arial"/>
          <w:sz w:val="21"/>
          <w:szCs w:val="21"/>
        </w:rPr>
        <w:t>Mio.</w:t>
      </w:r>
      <w:r w:rsidR="00B71A4D" w:rsidRPr="00544299">
        <w:rPr>
          <w:rFonts w:ascii="Arial" w:hAnsi="Arial" w:cs="Arial"/>
          <w:sz w:val="21"/>
          <w:szCs w:val="21"/>
        </w:rPr>
        <w:t> </w:t>
      </w:r>
      <w:r w:rsidR="00130084" w:rsidRPr="00544299">
        <w:rPr>
          <w:rFonts w:ascii="Arial" w:hAnsi="Arial" w:cs="Arial"/>
          <w:sz w:val="21"/>
          <w:szCs w:val="21"/>
        </w:rPr>
        <w:t>Euro</w:t>
      </w:r>
      <w:r w:rsidR="00F54002" w:rsidRPr="00544299">
        <w:rPr>
          <w:rFonts w:ascii="Arial" w:hAnsi="Arial" w:cs="Arial"/>
          <w:sz w:val="21"/>
          <w:szCs w:val="21"/>
        </w:rPr>
        <w:t xml:space="preserve"> </w:t>
      </w:r>
    </w:p>
    <w:p w14:paraId="6D412C4F" w14:textId="23E1D210" w:rsidR="00E4198D" w:rsidRDefault="00B71A4D" w:rsidP="004D0E37">
      <w:pPr>
        <w:pStyle w:val="paragraph"/>
        <w:spacing w:before="0" w:beforeAutospacing="0" w:after="0" w:afterAutospacing="0" w:line="300" w:lineRule="atLeast"/>
        <w:textAlignment w:val="baseline"/>
        <w:rPr>
          <w:rFonts w:ascii="Arial" w:hAnsi="Arial" w:cs="Arial"/>
          <w:sz w:val="21"/>
          <w:szCs w:val="21"/>
        </w:rPr>
      </w:pPr>
      <w:r w:rsidRPr="00544299">
        <w:rPr>
          <w:rFonts w:ascii="Arial" w:hAnsi="Arial" w:cs="Arial"/>
          <w:sz w:val="21"/>
          <w:szCs w:val="21"/>
        </w:rPr>
        <w:t>(</w:t>
      </w:r>
      <w:r w:rsidR="00D91C0B" w:rsidRPr="00544299">
        <w:rPr>
          <w:rFonts w:ascii="Arial" w:hAnsi="Arial" w:cs="Arial"/>
          <w:sz w:val="21"/>
          <w:szCs w:val="21"/>
        </w:rPr>
        <w:t>–</w:t>
      </w:r>
      <w:r w:rsidR="00925BE3" w:rsidRPr="00544299">
        <w:rPr>
          <w:rFonts w:ascii="Arial" w:hAnsi="Arial" w:cs="Arial"/>
          <w:sz w:val="21"/>
          <w:szCs w:val="21"/>
        </w:rPr>
        <w:t>16,8</w:t>
      </w:r>
      <w:r w:rsidRPr="00544299">
        <w:rPr>
          <w:rFonts w:ascii="Arial" w:hAnsi="Arial" w:cs="Arial"/>
          <w:sz w:val="21"/>
          <w:szCs w:val="21"/>
        </w:rPr>
        <w:t> </w:t>
      </w:r>
      <w:r w:rsidR="00925BE3" w:rsidRPr="00544299">
        <w:rPr>
          <w:rFonts w:ascii="Arial" w:hAnsi="Arial" w:cs="Arial"/>
          <w:sz w:val="21"/>
          <w:szCs w:val="21"/>
        </w:rPr>
        <w:t>%)</w:t>
      </w:r>
      <w:r w:rsidR="001205CD" w:rsidRPr="00544299">
        <w:rPr>
          <w:rFonts w:ascii="Arial" w:hAnsi="Arial" w:cs="Arial"/>
          <w:sz w:val="21"/>
          <w:szCs w:val="21"/>
        </w:rPr>
        <w:t>, d</w:t>
      </w:r>
      <w:r w:rsidR="008A07E6" w:rsidRPr="00544299">
        <w:rPr>
          <w:rFonts w:ascii="Arial" w:hAnsi="Arial" w:cs="Arial"/>
          <w:sz w:val="21"/>
          <w:szCs w:val="21"/>
        </w:rPr>
        <w:t>er Free Operating Cash Flow</w:t>
      </w:r>
      <w:r w:rsidR="004A3625" w:rsidRPr="00544299">
        <w:rPr>
          <w:rFonts w:ascii="Arial" w:hAnsi="Arial" w:cs="Arial"/>
          <w:sz w:val="21"/>
          <w:szCs w:val="21"/>
        </w:rPr>
        <w:t xml:space="preserve"> (FOCF)</w:t>
      </w:r>
      <w:r w:rsidR="008A07E6" w:rsidRPr="00544299">
        <w:rPr>
          <w:rFonts w:ascii="Arial" w:hAnsi="Arial" w:cs="Arial"/>
          <w:sz w:val="21"/>
          <w:szCs w:val="21"/>
        </w:rPr>
        <w:t xml:space="preserve"> erhöhte sich auf 530</w:t>
      </w:r>
      <w:r w:rsidR="005C7325" w:rsidRPr="00544299">
        <w:rPr>
          <w:rFonts w:ascii="Arial" w:hAnsi="Arial" w:cs="Arial"/>
          <w:sz w:val="21"/>
          <w:szCs w:val="21"/>
        </w:rPr>
        <w:t> </w:t>
      </w:r>
      <w:r w:rsidR="008A07E6" w:rsidRPr="00544299">
        <w:rPr>
          <w:rFonts w:ascii="Arial" w:hAnsi="Arial" w:cs="Arial"/>
          <w:sz w:val="21"/>
          <w:szCs w:val="21"/>
        </w:rPr>
        <w:t>Mio.</w:t>
      </w:r>
      <w:r w:rsidR="005C7325" w:rsidRPr="00544299">
        <w:rPr>
          <w:rFonts w:ascii="Arial" w:hAnsi="Arial" w:cs="Arial"/>
          <w:sz w:val="21"/>
          <w:szCs w:val="21"/>
        </w:rPr>
        <w:t> </w:t>
      </w:r>
      <w:r w:rsidR="008A07E6" w:rsidRPr="00544299">
        <w:rPr>
          <w:rFonts w:ascii="Arial" w:hAnsi="Arial" w:cs="Arial"/>
          <w:sz w:val="21"/>
          <w:szCs w:val="21"/>
        </w:rPr>
        <w:t>Euro</w:t>
      </w:r>
      <w:r w:rsidR="00D63CD6" w:rsidRPr="00544299">
        <w:rPr>
          <w:rFonts w:ascii="Arial" w:hAnsi="Arial" w:cs="Arial"/>
          <w:sz w:val="21"/>
          <w:szCs w:val="21"/>
        </w:rPr>
        <w:t xml:space="preserve"> (</w:t>
      </w:r>
      <w:r w:rsidR="003F4B69" w:rsidRPr="00544299">
        <w:rPr>
          <w:rFonts w:ascii="Arial" w:hAnsi="Arial" w:cs="Arial"/>
          <w:sz w:val="21"/>
          <w:szCs w:val="21"/>
        </w:rPr>
        <w:t>+</w:t>
      </w:r>
      <w:r w:rsidR="00016602" w:rsidRPr="00544299">
        <w:rPr>
          <w:rFonts w:ascii="Arial" w:hAnsi="Arial" w:cs="Arial"/>
          <w:sz w:val="21"/>
          <w:szCs w:val="21"/>
        </w:rPr>
        <w:t>12,</w:t>
      </w:r>
      <w:r w:rsidR="009A05AF" w:rsidRPr="00544299">
        <w:rPr>
          <w:rFonts w:ascii="Arial" w:hAnsi="Arial" w:cs="Arial"/>
          <w:sz w:val="21"/>
          <w:szCs w:val="21"/>
        </w:rPr>
        <w:t>1</w:t>
      </w:r>
      <w:r w:rsidR="00F54002" w:rsidRPr="00544299">
        <w:rPr>
          <w:rFonts w:ascii="Arial" w:hAnsi="Arial" w:cs="Arial"/>
          <w:sz w:val="21"/>
          <w:szCs w:val="21"/>
        </w:rPr>
        <w:t> </w:t>
      </w:r>
      <w:r w:rsidR="009A05AF" w:rsidRPr="00544299">
        <w:rPr>
          <w:rFonts w:ascii="Arial" w:hAnsi="Arial" w:cs="Arial"/>
          <w:sz w:val="21"/>
          <w:szCs w:val="21"/>
        </w:rPr>
        <w:t>%</w:t>
      </w:r>
      <w:r w:rsidR="00D63CD6" w:rsidRPr="00544299">
        <w:rPr>
          <w:rFonts w:ascii="Arial" w:hAnsi="Arial" w:cs="Arial"/>
          <w:sz w:val="21"/>
          <w:szCs w:val="21"/>
        </w:rPr>
        <w:t>)</w:t>
      </w:r>
      <w:r w:rsidR="008A07E6" w:rsidRPr="00544299">
        <w:rPr>
          <w:rFonts w:ascii="Arial" w:hAnsi="Arial" w:cs="Arial"/>
          <w:sz w:val="21"/>
          <w:szCs w:val="21"/>
        </w:rPr>
        <w:t>.</w:t>
      </w:r>
    </w:p>
    <w:p w14:paraId="7B8C26DB" w14:textId="77777777" w:rsidR="008A07E6" w:rsidRDefault="008A07E6" w:rsidP="004D0E37">
      <w:pPr>
        <w:pStyle w:val="paragraph"/>
        <w:spacing w:before="0" w:beforeAutospacing="0" w:after="0" w:afterAutospacing="0" w:line="300" w:lineRule="atLeast"/>
        <w:textAlignment w:val="baseline"/>
        <w:rPr>
          <w:rFonts w:ascii="Arial" w:hAnsi="Arial" w:cs="Arial"/>
          <w:sz w:val="21"/>
          <w:szCs w:val="21"/>
        </w:rPr>
      </w:pPr>
    </w:p>
    <w:p w14:paraId="4ABBA3F5" w14:textId="0C47D0CF" w:rsidR="008A07E6" w:rsidRDefault="008A07E6" w:rsidP="004D0E37">
      <w:pPr>
        <w:pStyle w:val="paragraph"/>
        <w:spacing w:before="0" w:beforeAutospacing="0" w:after="0" w:afterAutospacing="0" w:line="300" w:lineRule="atLeast"/>
        <w:textAlignment w:val="baseline"/>
        <w:rPr>
          <w:rFonts w:ascii="Arial" w:hAnsi="Arial" w:cs="Arial"/>
          <w:sz w:val="21"/>
          <w:szCs w:val="21"/>
        </w:rPr>
      </w:pPr>
      <w:r w:rsidRPr="00AB3224">
        <w:rPr>
          <w:rFonts w:ascii="Arial" w:hAnsi="Arial" w:cs="Arial"/>
          <w:sz w:val="21"/>
          <w:szCs w:val="21"/>
        </w:rPr>
        <w:t>„Wir sind</w:t>
      </w:r>
      <w:r>
        <w:rPr>
          <w:rFonts w:ascii="Arial" w:hAnsi="Arial" w:cs="Arial"/>
          <w:sz w:val="21"/>
          <w:szCs w:val="21"/>
        </w:rPr>
        <w:t xml:space="preserve"> sicher durch dieses </w:t>
      </w:r>
      <w:r w:rsidR="003D316B">
        <w:rPr>
          <w:rFonts w:ascii="Arial" w:hAnsi="Arial" w:cs="Arial"/>
          <w:sz w:val="21"/>
          <w:szCs w:val="21"/>
        </w:rPr>
        <w:t>au</w:t>
      </w:r>
      <w:r w:rsidR="00374629">
        <w:rPr>
          <w:rFonts w:ascii="Arial" w:hAnsi="Arial" w:cs="Arial"/>
          <w:sz w:val="21"/>
          <w:szCs w:val="21"/>
        </w:rPr>
        <w:t xml:space="preserve">ßergewöhnliche </w:t>
      </w:r>
      <w:r>
        <w:rPr>
          <w:rFonts w:ascii="Arial" w:hAnsi="Arial" w:cs="Arial"/>
          <w:sz w:val="21"/>
          <w:szCs w:val="21"/>
        </w:rPr>
        <w:t xml:space="preserve">Jahr gekommen und haben unsere Handlungsfähigkeit </w:t>
      </w:r>
      <w:r w:rsidR="001224ED">
        <w:rPr>
          <w:rFonts w:ascii="Arial" w:hAnsi="Arial" w:cs="Arial"/>
          <w:sz w:val="21"/>
          <w:szCs w:val="21"/>
        </w:rPr>
        <w:t xml:space="preserve">jederzeit </w:t>
      </w:r>
      <w:r w:rsidR="002C606C">
        <w:rPr>
          <w:rFonts w:ascii="Arial" w:hAnsi="Arial" w:cs="Arial"/>
          <w:sz w:val="21"/>
          <w:szCs w:val="21"/>
        </w:rPr>
        <w:t>bewahrt</w:t>
      </w:r>
      <w:r>
        <w:rPr>
          <w:rFonts w:ascii="Arial" w:hAnsi="Arial" w:cs="Arial"/>
          <w:sz w:val="21"/>
          <w:szCs w:val="21"/>
        </w:rPr>
        <w:t xml:space="preserve">: Durch umfassende Maßnahmen haben wir unsere Beschäftigten geschützt, </w:t>
      </w:r>
      <w:r w:rsidRPr="00572CD1">
        <w:rPr>
          <w:rFonts w:ascii="Arial" w:hAnsi="Arial" w:cs="Arial"/>
          <w:sz w:val="21"/>
          <w:szCs w:val="21"/>
        </w:rPr>
        <w:t>Liefer</w:t>
      </w:r>
      <w:r>
        <w:rPr>
          <w:rFonts w:ascii="Arial" w:hAnsi="Arial" w:cs="Arial"/>
          <w:sz w:val="21"/>
          <w:szCs w:val="21"/>
        </w:rPr>
        <w:t>ketten aufrecht erhalten u</w:t>
      </w:r>
      <w:r w:rsidRPr="00572CD1">
        <w:rPr>
          <w:rFonts w:ascii="Arial" w:hAnsi="Arial" w:cs="Arial"/>
          <w:sz w:val="21"/>
          <w:szCs w:val="21"/>
        </w:rPr>
        <w:t xml:space="preserve">nd </w:t>
      </w:r>
      <w:r>
        <w:rPr>
          <w:rFonts w:ascii="Arial" w:hAnsi="Arial" w:cs="Arial"/>
          <w:sz w:val="21"/>
          <w:szCs w:val="21"/>
        </w:rPr>
        <w:t>uns</w:t>
      </w:r>
      <w:r w:rsidR="0011082F">
        <w:rPr>
          <w:rFonts w:ascii="Arial" w:hAnsi="Arial" w:cs="Arial"/>
          <w:sz w:val="21"/>
          <w:szCs w:val="21"/>
        </w:rPr>
        <w:t>ere</w:t>
      </w:r>
      <w:r>
        <w:rPr>
          <w:rFonts w:ascii="Arial" w:hAnsi="Arial" w:cs="Arial"/>
          <w:sz w:val="21"/>
          <w:szCs w:val="21"/>
        </w:rPr>
        <w:t xml:space="preserve"> </w:t>
      </w:r>
      <w:r w:rsidRPr="00572CD1">
        <w:rPr>
          <w:rFonts w:ascii="Arial" w:hAnsi="Arial" w:cs="Arial"/>
          <w:sz w:val="21"/>
          <w:szCs w:val="21"/>
        </w:rPr>
        <w:t xml:space="preserve">starke Liquiditätsposition </w:t>
      </w:r>
      <w:r w:rsidR="0011082F">
        <w:rPr>
          <w:rFonts w:ascii="Arial" w:hAnsi="Arial" w:cs="Arial"/>
          <w:sz w:val="21"/>
          <w:szCs w:val="21"/>
        </w:rPr>
        <w:t>ausgebaut</w:t>
      </w:r>
      <w:r>
        <w:rPr>
          <w:rFonts w:ascii="Arial" w:hAnsi="Arial" w:cs="Arial"/>
          <w:sz w:val="21"/>
          <w:szCs w:val="21"/>
        </w:rPr>
        <w:t xml:space="preserve">“, </w:t>
      </w:r>
      <w:r w:rsidRPr="00B6267A">
        <w:rPr>
          <w:rFonts w:ascii="Arial" w:hAnsi="Arial" w:cs="Arial"/>
          <w:sz w:val="21"/>
          <w:szCs w:val="21"/>
        </w:rPr>
        <w:t xml:space="preserve">sagte der Vorstandsvorsitzende </w:t>
      </w:r>
      <w:r w:rsidRPr="00B6267A">
        <w:rPr>
          <w:rFonts w:ascii="Arial" w:hAnsi="Arial" w:cs="Arial"/>
          <w:sz w:val="21"/>
          <w:szCs w:val="21"/>
        </w:rPr>
        <w:lastRenderedPageBreak/>
        <w:t xml:space="preserve">Dr. Markus Steilemann. </w:t>
      </w:r>
      <w:r>
        <w:rPr>
          <w:rFonts w:ascii="Arial" w:hAnsi="Arial" w:cs="Arial"/>
          <w:sz w:val="21"/>
          <w:szCs w:val="21"/>
        </w:rPr>
        <w:t>„</w:t>
      </w:r>
      <w:r w:rsidR="008C5FD6">
        <w:rPr>
          <w:rFonts w:ascii="Arial" w:hAnsi="Arial" w:cs="Arial"/>
          <w:sz w:val="21"/>
          <w:szCs w:val="21"/>
        </w:rPr>
        <w:t>So konnten wir auch im Jahr 2020</w:t>
      </w:r>
      <w:r>
        <w:rPr>
          <w:rFonts w:ascii="Arial" w:hAnsi="Arial" w:cs="Arial"/>
          <w:sz w:val="21"/>
          <w:szCs w:val="21"/>
        </w:rPr>
        <w:t xml:space="preserve"> unsere </w:t>
      </w:r>
      <w:r w:rsidR="004E4BD3">
        <w:rPr>
          <w:rFonts w:ascii="Arial" w:hAnsi="Arial" w:cs="Arial"/>
          <w:sz w:val="21"/>
          <w:szCs w:val="21"/>
        </w:rPr>
        <w:t xml:space="preserve">strategischen </w:t>
      </w:r>
      <w:r>
        <w:rPr>
          <w:rFonts w:ascii="Arial" w:hAnsi="Arial" w:cs="Arial"/>
          <w:sz w:val="21"/>
          <w:szCs w:val="21"/>
        </w:rPr>
        <w:t>Ziele aktiv weiterverfolgen</w:t>
      </w:r>
      <w:r w:rsidR="00AB5945">
        <w:rPr>
          <w:rFonts w:ascii="Arial" w:hAnsi="Arial" w:cs="Arial"/>
          <w:sz w:val="21"/>
          <w:szCs w:val="21"/>
        </w:rPr>
        <w:t>:</w:t>
      </w:r>
      <w:r>
        <w:rPr>
          <w:rFonts w:ascii="Arial" w:hAnsi="Arial" w:cs="Arial"/>
          <w:sz w:val="21"/>
          <w:szCs w:val="21"/>
        </w:rPr>
        <w:t xml:space="preserve"> </w:t>
      </w:r>
      <w:r w:rsidRPr="00AB3224">
        <w:rPr>
          <w:rFonts w:ascii="Arial" w:hAnsi="Arial" w:cs="Arial"/>
          <w:sz w:val="21"/>
          <w:szCs w:val="21"/>
        </w:rPr>
        <w:t>Wir haben</w:t>
      </w:r>
      <w:r>
        <w:rPr>
          <w:rFonts w:ascii="Arial" w:hAnsi="Arial" w:cs="Arial"/>
          <w:sz w:val="21"/>
          <w:szCs w:val="21"/>
        </w:rPr>
        <w:t xml:space="preserve"> unsere Vision zu</w:t>
      </w:r>
      <w:r w:rsidR="00FF6B83">
        <w:rPr>
          <w:rFonts w:ascii="Arial" w:hAnsi="Arial" w:cs="Arial"/>
          <w:sz w:val="21"/>
          <w:szCs w:val="21"/>
        </w:rPr>
        <w:t xml:space="preserve">r </w:t>
      </w:r>
      <w:r>
        <w:rPr>
          <w:rFonts w:ascii="Arial" w:hAnsi="Arial" w:cs="Arial"/>
          <w:sz w:val="21"/>
          <w:szCs w:val="21"/>
        </w:rPr>
        <w:t xml:space="preserve">vollständigen Ausrichtung auf die Kreislaufwirtschaft </w:t>
      </w:r>
      <w:r w:rsidR="00B56568">
        <w:rPr>
          <w:rFonts w:ascii="Arial" w:hAnsi="Arial" w:cs="Arial"/>
          <w:sz w:val="21"/>
          <w:szCs w:val="21"/>
        </w:rPr>
        <w:t xml:space="preserve">formuliert </w:t>
      </w:r>
      <w:r>
        <w:rPr>
          <w:rFonts w:ascii="Arial" w:hAnsi="Arial" w:cs="Arial"/>
          <w:sz w:val="21"/>
          <w:szCs w:val="21"/>
        </w:rPr>
        <w:t xml:space="preserve">und mit der </w:t>
      </w:r>
      <w:r w:rsidR="009577A9">
        <w:rPr>
          <w:rFonts w:ascii="Arial" w:hAnsi="Arial" w:cs="Arial"/>
          <w:sz w:val="21"/>
          <w:szCs w:val="21"/>
        </w:rPr>
        <w:t xml:space="preserve">angekündigten </w:t>
      </w:r>
      <w:r>
        <w:rPr>
          <w:rFonts w:ascii="Arial" w:hAnsi="Arial" w:cs="Arial"/>
          <w:sz w:val="21"/>
          <w:szCs w:val="21"/>
        </w:rPr>
        <w:t xml:space="preserve">Übernahme des Geschäftsbereichs </w:t>
      </w:r>
      <w:proofErr w:type="spellStart"/>
      <w:r>
        <w:rPr>
          <w:rFonts w:ascii="Arial" w:hAnsi="Arial" w:cs="Arial"/>
          <w:sz w:val="21"/>
          <w:szCs w:val="21"/>
        </w:rPr>
        <w:t>Resins</w:t>
      </w:r>
      <w:proofErr w:type="spellEnd"/>
      <w:r>
        <w:rPr>
          <w:rFonts w:ascii="Arial" w:hAnsi="Arial" w:cs="Arial"/>
          <w:sz w:val="21"/>
          <w:szCs w:val="21"/>
        </w:rPr>
        <w:t xml:space="preserve"> &amp; Functional Materials von DSM einen entscheidenden Schritt auf diesem Weg gemacht.“</w:t>
      </w:r>
    </w:p>
    <w:p w14:paraId="1B8DC659" w14:textId="77777777" w:rsidR="008A07E6" w:rsidRDefault="008A07E6" w:rsidP="004D0E37">
      <w:pPr>
        <w:pStyle w:val="paragraph"/>
        <w:spacing w:before="0" w:beforeAutospacing="0" w:after="0" w:afterAutospacing="0" w:line="300" w:lineRule="atLeast"/>
        <w:textAlignment w:val="baseline"/>
        <w:rPr>
          <w:rFonts w:ascii="Arial" w:hAnsi="Arial" w:cs="Arial"/>
          <w:sz w:val="21"/>
          <w:szCs w:val="21"/>
        </w:rPr>
      </w:pPr>
    </w:p>
    <w:p w14:paraId="5DE42AA3" w14:textId="5D7AFE13" w:rsidR="007474AA" w:rsidRDefault="0018645B" w:rsidP="004D0E37">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Covestro hat i</w:t>
      </w:r>
      <w:r w:rsidR="004E4BD3">
        <w:rPr>
          <w:rFonts w:ascii="Arial" w:hAnsi="Arial" w:cs="Arial"/>
          <w:sz w:val="21"/>
          <w:szCs w:val="21"/>
        </w:rPr>
        <w:t xml:space="preserve">m Geschäftsjahr 2020 </w:t>
      </w:r>
      <w:r w:rsidR="00C56789">
        <w:rPr>
          <w:rFonts w:ascii="Arial" w:hAnsi="Arial" w:cs="Arial"/>
          <w:sz w:val="21"/>
          <w:szCs w:val="21"/>
        </w:rPr>
        <w:t xml:space="preserve">bekannt gegeben, sich </w:t>
      </w:r>
      <w:r w:rsidR="006859FE">
        <w:rPr>
          <w:rFonts w:ascii="Arial" w:hAnsi="Arial" w:cs="Arial"/>
          <w:sz w:val="21"/>
          <w:szCs w:val="21"/>
        </w:rPr>
        <w:t xml:space="preserve">vollständig auf die Kreislaufwirtschaft auszurichten. </w:t>
      </w:r>
      <w:r w:rsidR="0041111A">
        <w:rPr>
          <w:rFonts w:ascii="Arial" w:hAnsi="Arial" w:cs="Arial"/>
          <w:sz w:val="21"/>
          <w:szCs w:val="21"/>
        </w:rPr>
        <w:t>Um</w:t>
      </w:r>
      <w:r w:rsidR="00226242">
        <w:rPr>
          <w:rFonts w:ascii="Arial" w:hAnsi="Arial" w:cs="Arial"/>
          <w:sz w:val="21"/>
          <w:szCs w:val="21"/>
        </w:rPr>
        <w:t xml:space="preserve"> diese</w:t>
      </w:r>
      <w:r w:rsidR="00F178E5">
        <w:rPr>
          <w:rFonts w:ascii="Arial" w:hAnsi="Arial" w:cs="Arial"/>
          <w:sz w:val="21"/>
          <w:szCs w:val="21"/>
        </w:rPr>
        <w:t xml:space="preserve"> </w:t>
      </w:r>
      <w:r w:rsidR="004E4BD3">
        <w:rPr>
          <w:rFonts w:ascii="Arial" w:hAnsi="Arial" w:cs="Arial"/>
          <w:sz w:val="21"/>
          <w:szCs w:val="21"/>
        </w:rPr>
        <w:t xml:space="preserve">langfristige </w:t>
      </w:r>
      <w:r w:rsidR="008A07E6">
        <w:rPr>
          <w:rFonts w:ascii="Arial" w:hAnsi="Arial" w:cs="Arial"/>
          <w:sz w:val="21"/>
          <w:szCs w:val="21"/>
        </w:rPr>
        <w:t>Vision</w:t>
      </w:r>
      <w:r w:rsidR="00226242">
        <w:rPr>
          <w:rFonts w:ascii="Arial" w:hAnsi="Arial" w:cs="Arial"/>
          <w:sz w:val="21"/>
          <w:szCs w:val="21"/>
        </w:rPr>
        <w:t xml:space="preserve"> </w:t>
      </w:r>
      <w:r w:rsidR="00CF1196">
        <w:rPr>
          <w:rFonts w:ascii="Arial" w:hAnsi="Arial" w:cs="Arial"/>
          <w:sz w:val="21"/>
          <w:szCs w:val="21"/>
        </w:rPr>
        <w:t xml:space="preserve">zu erreichen </w:t>
      </w:r>
      <w:r w:rsidR="00226242">
        <w:rPr>
          <w:rFonts w:ascii="Arial" w:hAnsi="Arial" w:cs="Arial"/>
          <w:sz w:val="21"/>
          <w:szCs w:val="21"/>
        </w:rPr>
        <w:t>und</w:t>
      </w:r>
      <w:r w:rsidR="008A07E6">
        <w:rPr>
          <w:rFonts w:ascii="Arial" w:hAnsi="Arial" w:cs="Arial"/>
          <w:sz w:val="21"/>
          <w:szCs w:val="21"/>
        </w:rPr>
        <w:t xml:space="preserve"> </w:t>
      </w:r>
      <w:r w:rsidR="00226242">
        <w:rPr>
          <w:rFonts w:ascii="Arial" w:hAnsi="Arial" w:cs="Arial"/>
          <w:sz w:val="21"/>
          <w:szCs w:val="21"/>
        </w:rPr>
        <w:t>Zirkularität in allen Geschäftsbereichen zu verankern</w:t>
      </w:r>
      <w:r w:rsidR="0094199C">
        <w:rPr>
          <w:rFonts w:ascii="Arial" w:hAnsi="Arial" w:cs="Arial"/>
          <w:sz w:val="21"/>
          <w:szCs w:val="21"/>
        </w:rPr>
        <w:t>,</w:t>
      </w:r>
      <w:r w:rsidR="00226242" w:rsidDel="00F178E5">
        <w:rPr>
          <w:rFonts w:ascii="Arial" w:hAnsi="Arial" w:cs="Arial"/>
          <w:sz w:val="21"/>
          <w:szCs w:val="21"/>
        </w:rPr>
        <w:t xml:space="preserve"> </w:t>
      </w:r>
      <w:r w:rsidR="00F178E5">
        <w:rPr>
          <w:rFonts w:ascii="Arial" w:hAnsi="Arial" w:cs="Arial"/>
          <w:sz w:val="21"/>
          <w:szCs w:val="21"/>
        </w:rPr>
        <w:t>hat der</w:t>
      </w:r>
      <w:r w:rsidR="008A07E6">
        <w:rPr>
          <w:rFonts w:ascii="Arial" w:hAnsi="Arial" w:cs="Arial"/>
          <w:sz w:val="21"/>
          <w:szCs w:val="21"/>
        </w:rPr>
        <w:t xml:space="preserve"> Konzern vier Themen in den Fokus gerückt: </w:t>
      </w:r>
      <w:r w:rsidR="008A07E6" w:rsidRPr="008B60DB">
        <w:rPr>
          <w:rFonts w:ascii="Arial" w:hAnsi="Arial" w:cs="Arial"/>
          <w:sz w:val="21"/>
          <w:szCs w:val="21"/>
        </w:rPr>
        <w:t>Alternative Rohstoffe, Innovatives Recycling, Gemeinsame Lösungen sowie Erneuerbare Energien</w:t>
      </w:r>
      <w:r w:rsidR="008A07E6">
        <w:rPr>
          <w:rFonts w:ascii="Arial" w:hAnsi="Arial" w:cs="Arial"/>
          <w:sz w:val="21"/>
          <w:szCs w:val="21"/>
        </w:rPr>
        <w:t xml:space="preserve">. </w:t>
      </w:r>
    </w:p>
    <w:p w14:paraId="542324B5" w14:textId="77777777" w:rsidR="00623BE4" w:rsidRDefault="00623BE4" w:rsidP="00623BE4">
      <w:pPr>
        <w:pStyle w:val="paragraph"/>
        <w:spacing w:before="0" w:beforeAutospacing="0" w:after="0" w:afterAutospacing="0" w:line="300" w:lineRule="atLeast"/>
        <w:textAlignment w:val="baseline"/>
        <w:rPr>
          <w:rFonts w:ascii="Arial" w:hAnsi="Arial" w:cs="Arial"/>
          <w:b/>
          <w:bCs/>
          <w:sz w:val="21"/>
          <w:szCs w:val="21"/>
        </w:rPr>
      </w:pPr>
    </w:p>
    <w:p w14:paraId="5958A7A7" w14:textId="76B9E215" w:rsidR="008A07E6" w:rsidRPr="00623BE4" w:rsidRDefault="004E4BD3" w:rsidP="00623BE4">
      <w:pPr>
        <w:pStyle w:val="paragraph"/>
        <w:spacing w:before="0" w:beforeAutospacing="0" w:after="0" w:afterAutospacing="0" w:line="300" w:lineRule="atLeast"/>
        <w:textAlignment w:val="baseline"/>
        <w:rPr>
          <w:rFonts w:ascii="Arial" w:hAnsi="Arial" w:cs="Arial"/>
          <w:b/>
          <w:bCs/>
          <w:sz w:val="21"/>
          <w:szCs w:val="21"/>
        </w:rPr>
      </w:pPr>
      <w:r w:rsidRPr="00623BE4">
        <w:rPr>
          <w:rFonts w:ascii="Arial" w:hAnsi="Arial" w:cs="Arial"/>
          <w:b/>
          <w:bCs/>
          <w:sz w:val="21"/>
          <w:szCs w:val="21"/>
        </w:rPr>
        <w:t xml:space="preserve">Starkes Ergebnis </w:t>
      </w:r>
      <w:r w:rsidR="002F5EFC" w:rsidRPr="00623BE4">
        <w:rPr>
          <w:rFonts w:ascii="Arial" w:hAnsi="Arial" w:cs="Arial"/>
          <w:b/>
          <w:bCs/>
          <w:sz w:val="21"/>
          <w:szCs w:val="21"/>
        </w:rPr>
        <w:t xml:space="preserve">dank </w:t>
      </w:r>
      <w:r w:rsidRPr="00623BE4">
        <w:rPr>
          <w:rFonts w:ascii="Arial" w:hAnsi="Arial" w:cs="Arial"/>
          <w:b/>
          <w:bCs/>
          <w:sz w:val="21"/>
          <w:szCs w:val="21"/>
        </w:rPr>
        <w:t>konsequente</w:t>
      </w:r>
      <w:r w:rsidR="002F5EFC" w:rsidRPr="00623BE4">
        <w:rPr>
          <w:rFonts w:ascii="Arial" w:hAnsi="Arial" w:cs="Arial"/>
          <w:b/>
          <w:bCs/>
          <w:sz w:val="21"/>
          <w:szCs w:val="21"/>
        </w:rPr>
        <w:t>r</w:t>
      </w:r>
      <w:r w:rsidR="00436B6D" w:rsidRPr="00623BE4">
        <w:rPr>
          <w:rFonts w:ascii="Arial" w:hAnsi="Arial" w:cs="Arial"/>
          <w:b/>
          <w:bCs/>
          <w:sz w:val="21"/>
          <w:szCs w:val="21"/>
        </w:rPr>
        <w:t xml:space="preserve"> Maßnahmen</w:t>
      </w:r>
    </w:p>
    <w:p w14:paraId="08A32B1E" w14:textId="77777777" w:rsidR="00623BE4" w:rsidRDefault="00623BE4" w:rsidP="00623BE4">
      <w:pPr>
        <w:pStyle w:val="paragraph"/>
        <w:spacing w:before="0" w:beforeAutospacing="0" w:after="0" w:afterAutospacing="0" w:line="300" w:lineRule="atLeast"/>
        <w:textAlignment w:val="baseline"/>
        <w:rPr>
          <w:rFonts w:ascii="Arial" w:hAnsi="Arial" w:cs="Arial"/>
          <w:sz w:val="21"/>
          <w:szCs w:val="21"/>
        </w:rPr>
      </w:pPr>
    </w:p>
    <w:p w14:paraId="39249EC4" w14:textId="277E6C54" w:rsidR="008A07E6" w:rsidRDefault="008A07E6" w:rsidP="00623BE4">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w:t>
      </w:r>
      <w:r w:rsidRPr="00CF7B03">
        <w:rPr>
          <w:rFonts w:ascii="Arial" w:hAnsi="Arial" w:cs="Arial"/>
          <w:sz w:val="21"/>
          <w:szCs w:val="21"/>
        </w:rPr>
        <w:t>Unser breit angelegtes</w:t>
      </w:r>
      <w:r>
        <w:rPr>
          <w:rFonts w:ascii="Arial" w:hAnsi="Arial" w:cs="Arial"/>
          <w:sz w:val="21"/>
          <w:szCs w:val="21"/>
        </w:rPr>
        <w:t>,</w:t>
      </w:r>
      <w:r w:rsidRPr="00CF7B03">
        <w:rPr>
          <w:rFonts w:ascii="Arial" w:hAnsi="Arial" w:cs="Arial"/>
          <w:sz w:val="21"/>
          <w:szCs w:val="21"/>
        </w:rPr>
        <w:t xml:space="preserve"> früh</w:t>
      </w:r>
      <w:r w:rsidR="00D87023">
        <w:rPr>
          <w:rFonts w:ascii="Arial" w:hAnsi="Arial" w:cs="Arial"/>
          <w:sz w:val="21"/>
          <w:szCs w:val="21"/>
        </w:rPr>
        <w:t>zeitig</w:t>
      </w:r>
      <w:r w:rsidRPr="00CF7B03">
        <w:rPr>
          <w:rFonts w:ascii="Arial" w:hAnsi="Arial" w:cs="Arial"/>
          <w:sz w:val="21"/>
          <w:szCs w:val="21"/>
        </w:rPr>
        <w:t>e</w:t>
      </w:r>
      <w:r>
        <w:rPr>
          <w:rFonts w:ascii="Arial" w:hAnsi="Arial" w:cs="Arial"/>
          <w:sz w:val="21"/>
          <w:szCs w:val="21"/>
        </w:rPr>
        <w:t>s</w:t>
      </w:r>
      <w:r w:rsidRPr="00CF7B03">
        <w:rPr>
          <w:rFonts w:ascii="Arial" w:hAnsi="Arial" w:cs="Arial"/>
          <w:sz w:val="21"/>
          <w:szCs w:val="21"/>
        </w:rPr>
        <w:t xml:space="preserve"> Maßnahmenpaket hat erheblich zu unserem starken Ergebnis beigetragen. </w:t>
      </w:r>
      <w:r>
        <w:rPr>
          <w:rFonts w:ascii="Arial" w:hAnsi="Arial" w:cs="Arial"/>
          <w:sz w:val="21"/>
          <w:szCs w:val="21"/>
        </w:rPr>
        <w:t>Unterstützt von einer deutlichen Erholung der Nachfrage ab der Jahres</w:t>
      </w:r>
      <w:r w:rsidR="001B24DE">
        <w:rPr>
          <w:rFonts w:ascii="Arial" w:hAnsi="Arial" w:cs="Arial"/>
          <w:sz w:val="21"/>
          <w:szCs w:val="21"/>
        </w:rPr>
        <w:t>mitte</w:t>
      </w:r>
      <w:r>
        <w:rPr>
          <w:rFonts w:ascii="Arial" w:hAnsi="Arial" w:cs="Arial"/>
          <w:sz w:val="21"/>
          <w:szCs w:val="21"/>
        </w:rPr>
        <w:t xml:space="preserve">, </w:t>
      </w:r>
      <w:r w:rsidRPr="00CF7B03">
        <w:rPr>
          <w:rFonts w:ascii="Arial" w:hAnsi="Arial" w:cs="Arial"/>
          <w:sz w:val="21"/>
          <w:szCs w:val="21"/>
        </w:rPr>
        <w:t xml:space="preserve">sind </w:t>
      </w:r>
      <w:r>
        <w:rPr>
          <w:rFonts w:ascii="Arial" w:hAnsi="Arial" w:cs="Arial"/>
          <w:sz w:val="21"/>
          <w:szCs w:val="21"/>
        </w:rPr>
        <w:t xml:space="preserve">wir </w:t>
      </w:r>
      <w:r w:rsidRPr="00CF7B03">
        <w:rPr>
          <w:rFonts w:ascii="Arial" w:hAnsi="Arial" w:cs="Arial"/>
          <w:sz w:val="21"/>
          <w:szCs w:val="21"/>
        </w:rPr>
        <w:t xml:space="preserve">im zweiten </w:t>
      </w:r>
      <w:r w:rsidRPr="00566C53">
        <w:rPr>
          <w:rFonts w:ascii="Arial" w:hAnsi="Arial" w:cs="Arial"/>
          <w:sz w:val="21"/>
          <w:szCs w:val="21"/>
        </w:rPr>
        <w:t xml:space="preserve">Halbjahr </w:t>
      </w:r>
      <w:r w:rsidRPr="00327377">
        <w:rPr>
          <w:rFonts w:ascii="Arial" w:hAnsi="Arial" w:cs="Arial"/>
          <w:sz w:val="21"/>
          <w:szCs w:val="21"/>
        </w:rPr>
        <w:t>auf unseren Wachstumskurs</w:t>
      </w:r>
      <w:r w:rsidRPr="00CF7B03">
        <w:rPr>
          <w:rFonts w:ascii="Arial" w:hAnsi="Arial" w:cs="Arial"/>
          <w:sz w:val="21"/>
          <w:szCs w:val="21"/>
        </w:rPr>
        <w:t xml:space="preserve"> zurückgekehrt</w:t>
      </w:r>
      <w:r w:rsidR="00A030AA">
        <w:rPr>
          <w:rFonts w:ascii="Arial" w:hAnsi="Arial" w:cs="Arial"/>
          <w:sz w:val="21"/>
          <w:szCs w:val="21"/>
        </w:rPr>
        <w:t xml:space="preserve"> und haben ein Ergebnis fast auf Vorjahresniveau erreicht</w:t>
      </w:r>
      <w:r>
        <w:rPr>
          <w:rFonts w:ascii="Arial" w:hAnsi="Arial" w:cs="Arial"/>
          <w:sz w:val="21"/>
          <w:szCs w:val="21"/>
        </w:rPr>
        <w:t xml:space="preserve">“, </w:t>
      </w:r>
      <w:r w:rsidRPr="00363FC6">
        <w:rPr>
          <w:rFonts w:ascii="Arial" w:hAnsi="Arial" w:cs="Arial"/>
          <w:sz w:val="21"/>
          <w:szCs w:val="21"/>
        </w:rPr>
        <w:t xml:space="preserve">sagte Finanzvorstand Dr. Thomas Toepfer. </w:t>
      </w:r>
      <w:r>
        <w:rPr>
          <w:rFonts w:ascii="Arial" w:hAnsi="Arial" w:cs="Arial"/>
          <w:sz w:val="21"/>
          <w:szCs w:val="21"/>
        </w:rPr>
        <w:t>„</w:t>
      </w:r>
      <w:r w:rsidR="001A3AF4">
        <w:rPr>
          <w:rFonts w:ascii="Arial" w:hAnsi="Arial" w:cs="Arial"/>
          <w:sz w:val="21"/>
          <w:szCs w:val="21"/>
        </w:rPr>
        <w:t>In</w:t>
      </w:r>
      <w:r w:rsidRPr="00CF7B03">
        <w:rPr>
          <w:rFonts w:ascii="Arial" w:hAnsi="Arial" w:cs="Arial"/>
          <w:sz w:val="21"/>
          <w:szCs w:val="21"/>
        </w:rPr>
        <w:t xml:space="preserve"> </w:t>
      </w:r>
      <w:r>
        <w:rPr>
          <w:rFonts w:ascii="Arial" w:hAnsi="Arial" w:cs="Arial"/>
          <w:sz w:val="21"/>
          <w:szCs w:val="21"/>
        </w:rPr>
        <w:t>einem</w:t>
      </w:r>
      <w:r w:rsidRPr="00CF7B03">
        <w:rPr>
          <w:rFonts w:ascii="Arial" w:hAnsi="Arial" w:cs="Arial"/>
          <w:sz w:val="21"/>
          <w:szCs w:val="21"/>
        </w:rPr>
        <w:t xml:space="preserve"> weiterhin von Unsicherheit geprägten Umfeld</w:t>
      </w:r>
      <w:r w:rsidR="008D3290">
        <w:rPr>
          <w:rFonts w:ascii="Arial" w:hAnsi="Arial" w:cs="Arial"/>
          <w:sz w:val="21"/>
          <w:szCs w:val="21"/>
        </w:rPr>
        <w:t xml:space="preserve"> </w:t>
      </w:r>
      <w:r w:rsidRPr="00CF7B03">
        <w:rPr>
          <w:rFonts w:ascii="Arial" w:hAnsi="Arial" w:cs="Arial"/>
          <w:sz w:val="21"/>
          <w:szCs w:val="21"/>
        </w:rPr>
        <w:t xml:space="preserve">bleiben </w:t>
      </w:r>
      <w:r w:rsidR="006E467C">
        <w:rPr>
          <w:rFonts w:ascii="Arial" w:hAnsi="Arial" w:cs="Arial"/>
          <w:sz w:val="21"/>
          <w:szCs w:val="21"/>
        </w:rPr>
        <w:t xml:space="preserve">wir </w:t>
      </w:r>
      <w:r w:rsidRPr="00CF7B03">
        <w:rPr>
          <w:rFonts w:ascii="Arial" w:hAnsi="Arial" w:cs="Arial"/>
          <w:sz w:val="21"/>
          <w:szCs w:val="21"/>
        </w:rPr>
        <w:t>kostenbewusst</w:t>
      </w:r>
      <w:r w:rsidR="00412772">
        <w:rPr>
          <w:rFonts w:ascii="Arial" w:hAnsi="Arial" w:cs="Arial"/>
          <w:sz w:val="21"/>
          <w:szCs w:val="21"/>
        </w:rPr>
        <w:t xml:space="preserve"> und</w:t>
      </w:r>
      <w:r w:rsidRPr="00CF7B03">
        <w:rPr>
          <w:rFonts w:ascii="Arial" w:hAnsi="Arial" w:cs="Arial"/>
          <w:sz w:val="21"/>
          <w:szCs w:val="21"/>
        </w:rPr>
        <w:t xml:space="preserve"> </w:t>
      </w:r>
      <w:r w:rsidR="00D42E07">
        <w:rPr>
          <w:rFonts w:ascii="Arial" w:hAnsi="Arial" w:cs="Arial"/>
          <w:sz w:val="21"/>
          <w:szCs w:val="21"/>
        </w:rPr>
        <w:t>stärken unsere</w:t>
      </w:r>
      <w:r w:rsidR="00D42E07" w:rsidRPr="00CF7B03">
        <w:rPr>
          <w:rFonts w:ascii="Arial" w:hAnsi="Arial" w:cs="Arial"/>
          <w:sz w:val="21"/>
          <w:szCs w:val="21"/>
        </w:rPr>
        <w:t xml:space="preserve"> </w:t>
      </w:r>
      <w:r w:rsidRPr="00CF7B03">
        <w:rPr>
          <w:rFonts w:ascii="Arial" w:hAnsi="Arial" w:cs="Arial"/>
          <w:sz w:val="21"/>
          <w:szCs w:val="21"/>
        </w:rPr>
        <w:t>Effizienz</w:t>
      </w:r>
      <w:r w:rsidR="00412772">
        <w:rPr>
          <w:rFonts w:ascii="Arial" w:hAnsi="Arial" w:cs="Arial"/>
          <w:sz w:val="21"/>
          <w:szCs w:val="21"/>
        </w:rPr>
        <w:t>. Darüber hinaus</w:t>
      </w:r>
      <w:r w:rsidR="00D42E07">
        <w:rPr>
          <w:rFonts w:ascii="Arial" w:hAnsi="Arial" w:cs="Arial"/>
          <w:sz w:val="21"/>
          <w:szCs w:val="21"/>
        </w:rPr>
        <w:t xml:space="preserve"> nehmen</w:t>
      </w:r>
      <w:r w:rsidR="00412772">
        <w:rPr>
          <w:rFonts w:ascii="Arial" w:hAnsi="Arial" w:cs="Arial"/>
          <w:sz w:val="21"/>
          <w:szCs w:val="21"/>
        </w:rPr>
        <w:t xml:space="preserve"> wir </w:t>
      </w:r>
      <w:r w:rsidRPr="00CF7B03">
        <w:rPr>
          <w:rFonts w:ascii="Arial" w:hAnsi="Arial" w:cs="Arial"/>
          <w:sz w:val="21"/>
          <w:szCs w:val="21"/>
        </w:rPr>
        <w:t>unsere Kunden</w:t>
      </w:r>
      <w:r w:rsidR="0011082F">
        <w:rPr>
          <w:rFonts w:ascii="Arial" w:hAnsi="Arial" w:cs="Arial"/>
          <w:sz w:val="21"/>
          <w:szCs w:val="21"/>
        </w:rPr>
        <w:t xml:space="preserve"> noch deutlicher</w:t>
      </w:r>
      <w:r w:rsidR="00D42E07">
        <w:rPr>
          <w:rFonts w:ascii="Arial" w:hAnsi="Arial" w:cs="Arial"/>
          <w:sz w:val="21"/>
          <w:szCs w:val="21"/>
        </w:rPr>
        <w:t xml:space="preserve"> in den Fokus</w:t>
      </w:r>
      <w:r w:rsidRPr="00CF7B03">
        <w:rPr>
          <w:rFonts w:ascii="Arial" w:hAnsi="Arial" w:cs="Arial"/>
          <w:sz w:val="21"/>
          <w:szCs w:val="21"/>
        </w:rPr>
        <w:t>, um gemeinsam Mehrwert zu schaffen.</w:t>
      </w:r>
      <w:r>
        <w:rPr>
          <w:rFonts w:ascii="Arial" w:hAnsi="Arial" w:cs="Arial"/>
          <w:sz w:val="21"/>
          <w:szCs w:val="21"/>
        </w:rPr>
        <w:t>“</w:t>
      </w:r>
    </w:p>
    <w:p w14:paraId="6ACE84EF" w14:textId="77777777" w:rsidR="00623BE4" w:rsidRDefault="00623BE4" w:rsidP="00623BE4">
      <w:pPr>
        <w:pStyle w:val="paragraph"/>
        <w:spacing w:before="0" w:beforeAutospacing="0" w:after="0" w:afterAutospacing="0" w:line="300" w:lineRule="atLeast"/>
        <w:textAlignment w:val="baseline"/>
        <w:rPr>
          <w:rFonts w:ascii="Arial" w:hAnsi="Arial" w:cs="Arial"/>
          <w:sz w:val="21"/>
          <w:szCs w:val="21"/>
        </w:rPr>
      </w:pPr>
    </w:p>
    <w:p w14:paraId="4CEB8AA9" w14:textId="5FE886C3" w:rsidR="008A07E6" w:rsidRDefault="008A07E6" w:rsidP="00623BE4">
      <w:pPr>
        <w:pStyle w:val="paragraph"/>
        <w:spacing w:before="0" w:beforeAutospacing="0" w:after="0" w:afterAutospacing="0" w:line="300" w:lineRule="atLeast"/>
        <w:textAlignment w:val="baseline"/>
        <w:rPr>
          <w:rFonts w:ascii="Arial" w:hAnsi="Arial" w:cs="Arial"/>
          <w:sz w:val="21"/>
          <w:szCs w:val="21"/>
        </w:rPr>
      </w:pPr>
      <w:r w:rsidRPr="00623BE4">
        <w:rPr>
          <w:rFonts w:ascii="Arial" w:hAnsi="Arial" w:cs="Arial"/>
          <w:sz w:val="21"/>
          <w:szCs w:val="21"/>
        </w:rPr>
        <w:t>Um sich im Zuge der Coronavirus-Pandemie robust aufzustellen und Liquiditätsreserven zu sichern, hat Covestro im vergangenen Jahr zahlreiche zusätzliche Maßnahmen zur Kostenreduktion ergriffen. Im Ergebnis hat der Konzern damit insgesamt 360</w:t>
      </w:r>
      <w:r w:rsidR="003B3D6D" w:rsidRPr="00623BE4">
        <w:rPr>
          <w:rFonts w:ascii="Arial" w:hAnsi="Arial" w:cs="Arial"/>
          <w:sz w:val="21"/>
          <w:szCs w:val="21"/>
        </w:rPr>
        <w:t> </w:t>
      </w:r>
      <w:r w:rsidRPr="00623BE4">
        <w:rPr>
          <w:rFonts w:ascii="Arial" w:hAnsi="Arial" w:cs="Arial"/>
          <w:sz w:val="21"/>
          <w:szCs w:val="21"/>
        </w:rPr>
        <w:t xml:space="preserve">Mio. Euro an kurzfristigen Einsparungen realisiert. Auch das bereits im Jahr 2018 gestartete </w:t>
      </w:r>
      <w:r w:rsidR="00F203CE" w:rsidRPr="00623BE4">
        <w:rPr>
          <w:rFonts w:ascii="Arial" w:hAnsi="Arial" w:cs="Arial"/>
          <w:sz w:val="21"/>
          <w:szCs w:val="21"/>
        </w:rPr>
        <w:t>Effizienz</w:t>
      </w:r>
      <w:r w:rsidRPr="00623BE4">
        <w:rPr>
          <w:rFonts w:ascii="Arial" w:hAnsi="Arial" w:cs="Arial"/>
          <w:sz w:val="21"/>
          <w:szCs w:val="21"/>
        </w:rPr>
        <w:t>programm „</w:t>
      </w:r>
      <w:proofErr w:type="spellStart"/>
      <w:r w:rsidRPr="00623BE4">
        <w:rPr>
          <w:rFonts w:ascii="Arial" w:hAnsi="Arial" w:cs="Arial"/>
          <w:sz w:val="21"/>
          <w:szCs w:val="21"/>
        </w:rPr>
        <w:t>Perspective</w:t>
      </w:r>
      <w:proofErr w:type="spellEnd"/>
      <w:r w:rsidRPr="00623BE4">
        <w:rPr>
          <w:rFonts w:ascii="Arial" w:hAnsi="Arial" w:cs="Arial"/>
          <w:sz w:val="21"/>
          <w:szCs w:val="21"/>
        </w:rPr>
        <w:t xml:space="preserve">“ trug </w:t>
      </w:r>
      <w:r w:rsidR="007F4B3F" w:rsidRPr="00623BE4">
        <w:rPr>
          <w:rFonts w:ascii="Arial" w:hAnsi="Arial" w:cs="Arial"/>
          <w:sz w:val="21"/>
          <w:szCs w:val="21"/>
        </w:rPr>
        <w:t xml:space="preserve">im Geschäftsjahr 2020 mit </w:t>
      </w:r>
      <w:r w:rsidR="00AC6D2E" w:rsidRPr="00623BE4">
        <w:rPr>
          <w:rFonts w:ascii="Arial" w:hAnsi="Arial" w:cs="Arial"/>
          <w:sz w:val="21"/>
          <w:szCs w:val="21"/>
        </w:rPr>
        <w:t>130</w:t>
      </w:r>
      <w:r w:rsidR="003B3D6D" w:rsidRPr="00623BE4">
        <w:rPr>
          <w:rFonts w:ascii="Arial" w:hAnsi="Arial" w:cs="Arial"/>
          <w:sz w:val="21"/>
          <w:szCs w:val="21"/>
        </w:rPr>
        <w:t> </w:t>
      </w:r>
      <w:r w:rsidR="007F4B3F" w:rsidRPr="00623BE4">
        <w:rPr>
          <w:rFonts w:ascii="Arial" w:hAnsi="Arial" w:cs="Arial"/>
          <w:sz w:val="21"/>
          <w:szCs w:val="21"/>
        </w:rPr>
        <w:t xml:space="preserve">Mio. Euro </w:t>
      </w:r>
      <w:r w:rsidRPr="00623BE4">
        <w:rPr>
          <w:rFonts w:ascii="Arial" w:hAnsi="Arial" w:cs="Arial"/>
          <w:sz w:val="21"/>
          <w:szCs w:val="21"/>
        </w:rPr>
        <w:t xml:space="preserve">zur Kostenreduktion bei und wurde zum Jahresende </w:t>
      </w:r>
      <w:r w:rsidR="003346ED" w:rsidRPr="00623BE4">
        <w:rPr>
          <w:rFonts w:ascii="Arial" w:hAnsi="Arial" w:cs="Arial"/>
          <w:sz w:val="21"/>
          <w:szCs w:val="21"/>
        </w:rPr>
        <w:t xml:space="preserve">wie </w:t>
      </w:r>
      <w:r w:rsidR="00D323C5" w:rsidRPr="00623BE4">
        <w:rPr>
          <w:rFonts w:ascii="Arial" w:hAnsi="Arial" w:cs="Arial"/>
          <w:sz w:val="21"/>
          <w:szCs w:val="21"/>
        </w:rPr>
        <w:t xml:space="preserve">angekündigt </w:t>
      </w:r>
      <w:r w:rsidRPr="00623BE4">
        <w:rPr>
          <w:rFonts w:ascii="Arial" w:hAnsi="Arial" w:cs="Arial"/>
          <w:sz w:val="21"/>
          <w:szCs w:val="21"/>
        </w:rPr>
        <w:t xml:space="preserve">abgeschlossen. </w:t>
      </w:r>
    </w:p>
    <w:p w14:paraId="087825BE" w14:textId="77777777" w:rsidR="00623BE4" w:rsidRPr="00623BE4" w:rsidRDefault="00623BE4" w:rsidP="00623BE4">
      <w:pPr>
        <w:pStyle w:val="paragraph"/>
        <w:spacing w:before="0" w:beforeAutospacing="0" w:after="0" w:afterAutospacing="0" w:line="300" w:lineRule="atLeast"/>
        <w:textAlignment w:val="baseline"/>
        <w:rPr>
          <w:rFonts w:ascii="Arial" w:hAnsi="Arial" w:cs="Arial"/>
          <w:sz w:val="21"/>
          <w:szCs w:val="21"/>
        </w:rPr>
      </w:pPr>
    </w:p>
    <w:p w14:paraId="060277A2" w14:textId="7B45C719" w:rsidR="0098320C" w:rsidRDefault="00C14179" w:rsidP="00623BE4">
      <w:pPr>
        <w:pStyle w:val="paragraph"/>
        <w:spacing w:before="0" w:beforeAutospacing="0" w:after="0" w:afterAutospacing="0" w:line="300" w:lineRule="atLeast"/>
        <w:textAlignment w:val="baseline"/>
        <w:rPr>
          <w:rFonts w:ascii="Arial" w:hAnsi="Arial" w:cs="Arial"/>
          <w:b/>
          <w:bCs/>
          <w:sz w:val="21"/>
          <w:szCs w:val="21"/>
        </w:rPr>
      </w:pPr>
      <w:r>
        <w:rPr>
          <w:rFonts w:ascii="Arial" w:hAnsi="Arial" w:cs="Arial"/>
          <w:sz w:val="21"/>
          <w:szCs w:val="21"/>
        </w:rPr>
        <w:t xml:space="preserve">Zusätzlich hat </w:t>
      </w:r>
      <w:r w:rsidR="00294745">
        <w:rPr>
          <w:rFonts w:ascii="Arial" w:hAnsi="Arial" w:cs="Arial"/>
          <w:sz w:val="21"/>
          <w:szCs w:val="21"/>
        </w:rPr>
        <w:t>Covestro im Jahr 2020 verschiedene</w:t>
      </w:r>
      <w:r w:rsidR="00E97C9B">
        <w:rPr>
          <w:rFonts w:ascii="Arial" w:hAnsi="Arial" w:cs="Arial"/>
          <w:sz w:val="21"/>
          <w:szCs w:val="21"/>
        </w:rPr>
        <w:t xml:space="preserve"> </w:t>
      </w:r>
      <w:r w:rsidR="00AF2ECE">
        <w:rPr>
          <w:rFonts w:ascii="Arial" w:hAnsi="Arial" w:cs="Arial"/>
          <w:sz w:val="21"/>
          <w:szCs w:val="21"/>
        </w:rPr>
        <w:t>Finanzierungsm</w:t>
      </w:r>
      <w:r w:rsidR="00294745">
        <w:rPr>
          <w:rFonts w:ascii="Arial" w:hAnsi="Arial" w:cs="Arial"/>
          <w:sz w:val="21"/>
          <w:szCs w:val="21"/>
        </w:rPr>
        <w:t>a</w:t>
      </w:r>
      <w:r w:rsidR="00E97C9B">
        <w:rPr>
          <w:rFonts w:ascii="Arial" w:hAnsi="Arial" w:cs="Arial"/>
          <w:sz w:val="21"/>
          <w:szCs w:val="21"/>
        </w:rPr>
        <w:t>ßnahmen</w:t>
      </w:r>
      <w:r>
        <w:rPr>
          <w:rFonts w:ascii="Arial" w:hAnsi="Arial" w:cs="Arial"/>
          <w:sz w:val="21"/>
          <w:szCs w:val="21"/>
        </w:rPr>
        <w:t xml:space="preserve"> </w:t>
      </w:r>
      <w:r w:rsidR="00B7129F">
        <w:rPr>
          <w:rFonts w:ascii="Arial" w:hAnsi="Arial" w:cs="Arial"/>
          <w:sz w:val="21"/>
          <w:szCs w:val="21"/>
        </w:rPr>
        <w:t>ergriffen</w:t>
      </w:r>
      <w:r w:rsidR="00C95214">
        <w:rPr>
          <w:rFonts w:ascii="Arial" w:hAnsi="Arial" w:cs="Arial"/>
          <w:sz w:val="21"/>
          <w:szCs w:val="21"/>
        </w:rPr>
        <w:t xml:space="preserve">. </w:t>
      </w:r>
      <w:r w:rsidR="00D7505C">
        <w:rPr>
          <w:rFonts w:ascii="Arial" w:hAnsi="Arial" w:cs="Arial"/>
          <w:sz w:val="21"/>
          <w:szCs w:val="21"/>
        </w:rPr>
        <w:t>Dabei hat</w:t>
      </w:r>
      <w:r w:rsidR="00C95214">
        <w:rPr>
          <w:rFonts w:ascii="Arial" w:hAnsi="Arial" w:cs="Arial"/>
          <w:sz w:val="21"/>
          <w:szCs w:val="21"/>
        </w:rPr>
        <w:t xml:space="preserve"> der Konzern</w:t>
      </w:r>
      <w:r w:rsidR="006E7FC8">
        <w:rPr>
          <w:rFonts w:ascii="Arial" w:hAnsi="Arial" w:cs="Arial"/>
          <w:sz w:val="21"/>
          <w:szCs w:val="21"/>
        </w:rPr>
        <w:t>,</w:t>
      </w:r>
      <w:r w:rsidR="00C95214">
        <w:rPr>
          <w:rFonts w:ascii="Arial" w:hAnsi="Arial" w:cs="Arial"/>
          <w:sz w:val="21"/>
          <w:szCs w:val="21"/>
        </w:rPr>
        <w:t xml:space="preserve"> </w:t>
      </w:r>
      <w:r w:rsidR="00D7505C">
        <w:rPr>
          <w:rFonts w:ascii="Arial" w:hAnsi="Arial" w:cs="Arial"/>
          <w:sz w:val="21"/>
          <w:szCs w:val="21"/>
        </w:rPr>
        <w:t>wo möglich</w:t>
      </w:r>
      <w:r w:rsidR="006E7FC8">
        <w:rPr>
          <w:rFonts w:ascii="Arial" w:hAnsi="Arial" w:cs="Arial"/>
          <w:sz w:val="21"/>
          <w:szCs w:val="21"/>
        </w:rPr>
        <w:t>,</w:t>
      </w:r>
      <w:r w:rsidR="00D7505C">
        <w:rPr>
          <w:rFonts w:ascii="Arial" w:hAnsi="Arial" w:cs="Arial"/>
          <w:sz w:val="21"/>
          <w:szCs w:val="21"/>
        </w:rPr>
        <w:t xml:space="preserve"> </w:t>
      </w:r>
      <w:r w:rsidR="00373586">
        <w:rPr>
          <w:rFonts w:ascii="Arial" w:hAnsi="Arial" w:cs="Arial"/>
          <w:sz w:val="21"/>
          <w:szCs w:val="21"/>
        </w:rPr>
        <w:t xml:space="preserve">das gewählte Finanzinstrument an </w:t>
      </w:r>
      <w:r w:rsidR="00174012">
        <w:rPr>
          <w:rFonts w:ascii="Arial" w:hAnsi="Arial" w:cs="Arial"/>
          <w:sz w:val="21"/>
          <w:szCs w:val="21"/>
        </w:rPr>
        <w:t xml:space="preserve">die </w:t>
      </w:r>
      <w:r w:rsidR="00B7129F">
        <w:rPr>
          <w:rFonts w:ascii="Arial" w:hAnsi="Arial" w:cs="Arial"/>
          <w:sz w:val="21"/>
          <w:szCs w:val="21"/>
        </w:rPr>
        <w:t xml:space="preserve">eigene </w:t>
      </w:r>
      <w:r w:rsidR="00174012">
        <w:rPr>
          <w:rFonts w:ascii="Arial" w:hAnsi="Arial" w:cs="Arial"/>
          <w:sz w:val="21"/>
          <w:szCs w:val="21"/>
        </w:rPr>
        <w:t>Nachhalti</w:t>
      </w:r>
      <w:r w:rsidR="00B7129F">
        <w:rPr>
          <w:rFonts w:ascii="Arial" w:hAnsi="Arial" w:cs="Arial"/>
          <w:sz w:val="21"/>
          <w:szCs w:val="21"/>
        </w:rPr>
        <w:t>g</w:t>
      </w:r>
      <w:r w:rsidR="00174012">
        <w:rPr>
          <w:rFonts w:ascii="Arial" w:hAnsi="Arial" w:cs="Arial"/>
          <w:sz w:val="21"/>
          <w:szCs w:val="21"/>
        </w:rPr>
        <w:t xml:space="preserve">keitsperformance </w:t>
      </w:r>
      <w:r w:rsidR="000D1B7E" w:rsidRPr="00A7115E">
        <w:rPr>
          <w:rFonts w:ascii="Arial" w:hAnsi="Arial" w:cs="Arial"/>
          <w:sz w:val="21"/>
          <w:szCs w:val="21"/>
        </w:rPr>
        <w:t>gekoppelt</w:t>
      </w:r>
      <w:r w:rsidR="00C95214" w:rsidRPr="00A7115E">
        <w:rPr>
          <w:rFonts w:ascii="Arial" w:hAnsi="Arial" w:cs="Arial"/>
          <w:sz w:val="21"/>
          <w:szCs w:val="21"/>
        </w:rPr>
        <w:t xml:space="preserve"> und damit</w:t>
      </w:r>
      <w:r w:rsidR="00F55D7B" w:rsidRPr="00A7115E">
        <w:rPr>
          <w:rFonts w:ascii="Arial" w:hAnsi="Arial" w:cs="Arial"/>
          <w:sz w:val="21"/>
          <w:szCs w:val="21"/>
        </w:rPr>
        <w:t xml:space="preserve"> </w:t>
      </w:r>
      <w:r w:rsidR="000D1B7E" w:rsidRPr="00A7115E">
        <w:rPr>
          <w:rFonts w:ascii="Arial" w:hAnsi="Arial" w:cs="Arial"/>
          <w:sz w:val="21"/>
          <w:szCs w:val="21"/>
        </w:rPr>
        <w:t xml:space="preserve">seine Ambitionen </w:t>
      </w:r>
      <w:r w:rsidR="0011082F" w:rsidRPr="00A7115E">
        <w:rPr>
          <w:rFonts w:ascii="Arial" w:hAnsi="Arial" w:cs="Arial"/>
          <w:sz w:val="21"/>
          <w:szCs w:val="21"/>
        </w:rPr>
        <w:t>in diesem Bereich</w:t>
      </w:r>
      <w:r w:rsidR="00C95214" w:rsidRPr="00A7115E">
        <w:rPr>
          <w:rFonts w:ascii="Arial" w:hAnsi="Arial" w:cs="Arial"/>
          <w:sz w:val="21"/>
          <w:szCs w:val="21"/>
        </w:rPr>
        <w:t xml:space="preserve"> unterstrichen</w:t>
      </w:r>
      <w:r w:rsidR="000D1B7E" w:rsidRPr="00A7115E">
        <w:rPr>
          <w:rFonts w:ascii="Arial" w:hAnsi="Arial" w:cs="Arial"/>
          <w:sz w:val="21"/>
          <w:szCs w:val="21"/>
        </w:rPr>
        <w:t xml:space="preserve">. </w:t>
      </w:r>
      <w:r w:rsidR="004279AC" w:rsidRPr="00A7115E">
        <w:rPr>
          <w:rFonts w:ascii="Arial" w:hAnsi="Arial" w:cs="Arial"/>
          <w:sz w:val="21"/>
          <w:szCs w:val="21"/>
        </w:rPr>
        <w:t>So</w:t>
      </w:r>
      <w:r w:rsidR="00F55D7B" w:rsidRPr="00A7115E">
        <w:rPr>
          <w:rFonts w:ascii="Arial" w:hAnsi="Arial" w:cs="Arial"/>
          <w:sz w:val="21"/>
          <w:szCs w:val="21"/>
        </w:rPr>
        <w:t xml:space="preserve"> </w:t>
      </w:r>
      <w:r w:rsidR="00891AA8" w:rsidRPr="00A7115E">
        <w:rPr>
          <w:rFonts w:ascii="Arial" w:hAnsi="Arial" w:cs="Arial"/>
          <w:sz w:val="21"/>
          <w:szCs w:val="21"/>
        </w:rPr>
        <w:t xml:space="preserve">ist </w:t>
      </w:r>
      <w:r w:rsidR="009313CB" w:rsidRPr="00A7115E">
        <w:rPr>
          <w:rFonts w:ascii="Arial" w:hAnsi="Arial" w:cs="Arial"/>
          <w:sz w:val="21"/>
          <w:szCs w:val="21"/>
        </w:rPr>
        <w:t>die</w:t>
      </w:r>
      <w:r w:rsidR="004279AC" w:rsidRPr="00A7115E">
        <w:rPr>
          <w:rFonts w:ascii="Arial" w:hAnsi="Arial" w:cs="Arial"/>
          <w:sz w:val="21"/>
          <w:szCs w:val="21"/>
        </w:rPr>
        <w:t xml:space="preserve"> </w:t>
      </w:r>
      <w:r w:rsidR="00060EB7" w:rsidRPr="00A7115E">
        <w:rPr>
          <w:rFonts w:ascii="Arial" w:hAnsi="Arial" w:cs="Arial"/>
          <w:sz w:val="21"/>
          <w:szCs w:val="21"/>
        </w:rPr>
        <w:t xml:space="preserve">im </w:t>
      </w:r>
      <w:r w:rsidR="0009178F" w:rsidRPr="00A7115E">
        <w:rPr>
          <w:rFonts w:ascii="Arial" w:hAnsi="Arial" w:cs="Arial"/>
          <w:sz w:val="21"/>
          <w:szCs w:val="21"/>
        </w:rPr>
        <w:t xml:space="preserve">März 2020 abgeschlossene, </w:t>
      </w:r>
      <w:r w:rsidR="004279AC" w:rsidRPr="00A7115E">
        <w:rPr>
          <w:rFonts w:ascii="Arial" w:hAnsi="Arial" w:cs="Arial"/>
          <w:sz w:val="21"/>
          <w:szCs w:val="21"/>
        </w:rPr>
        <w:t xml:space="preserve">syndizierte Kreditfazilität </w:t>
      </w:r>
      <w:r w:rsidR="004D7D67" w:rsidRPr="00A7115E">
        <w:rPr>
          <w:rFonts w:ascii="Arial" w:hAnsi="Arial" w:cs="Arial"/>
          <w:sz w:val="21"/>
          <w:szCs w:val="21"/>
        </w:rPr>
        <w:t>in Höhe von 2,5</w:t>
      </w:r>
      <w:r w:rsidR="00A44568">
        <w:rPr>
          <w:rFonts w:ascii="Arial" w:hAnsi="Arial" w:cs="Arial"/>
          <w:sz w:val="21"/>
          <w:szCs w:val="21"/>
        </w:rPr>
        <w:t> </w:t>
      </w:r>
      <w:r w:rsidR="004D7D67" w:rsidRPr="00A7115E">
        <w:rPr>
          <w:rFonts w:ascii="Arial" w:hAnsi="Arial" w:cs="Arial"/>
          <w:sz w:val="21"/>
          <w:szCs w:val="21"/>
        </w:rPr>
        <w:t xml:space="preserve">Mrd. Euro </w:t>
      </w:r>
      <w:r w:rsidR="00496547" w:rsidRPr="00A7115E">
        <w:rPr>
          <w:rFonts w:ascii="Arial" w:hAnsi="Arial" w:cs="Arial"/>
          <w:sz w:val="21"/>
          <w:szCs w:val="21"/>
        </w:rPr>
        <w:t xml:space="preserve">mit einem Environment, </w:t>
      </w:r>
      <w:proofErr w:type="spellStart"/>
      <w:r w:rsidR="00496547" w:rsidRPr="00A7115E">
        <w:rPr>
          <w:rFonts w:ascii="Arial" w:hAnsi="Arial" w:cs="Arial"/>
          <w:sz w:val="21"/>
          <w:szCs w:val="21"/>
        </w:rPr>
        <w:t>Social</w:t>
      </w:r>
      <w:proofErr w:type="spellEnd"/>
      <w:r w:rsidR="00496547" w:rsidRPr="00A7115E">
        <w:rPr>
          <w:rFonts w:ascii="Arial" w:hAnsi="Arial" w:cs="Arial"/>
          <w:sz w:val="21"/>
          <w:szCs w:val="21"/>
        </w:rPr>
        <w:t xml:space="preserve">, </w:t>
      </w:r>
      <w:proofErr w:type="spellStart"/>
      <w:r w:rsidR="00496547" w:rsidRPr="00A7115E">
        <w:rPr>
          <w:rFonts w:ascii="Arial" w:hAnsi="Arial" w:cs="Arial"/>
          <w:sz w:val="21"/>
          <w:szCs w:val="21"/>
        </w:rPr>
        <w:t>Governance</w:t>
      </w:r>
      <w:proofErr w:type="spellEnd"/>
      <w:r w:rsidR="00496547" w:rsidRPr="00A7115E">
        <w:rPr>
          <w:rFonts w:ascii="Arial" w:hAnsi="Arial" w:cs="Arial"/>
          <w:sz w:val="21"/>
          <w:szCs w:val="21"/>
        </w:rPr>
        <w:t xml:space="preserve"> (ESG)-Rating</w:t>
      </w:r>
      <w:r w:rsidR="00D7407E" w:rsidRPr="00A7115E">
        <w:rPr>
          <w:rFonts w:ascii="Arial" w:hAnsi="Arial" w:cs="Arial"/>
          <w:sz w:val="21"/>
          <w:szCs w:val="21"/>
        </w:rPr>
        <w:t xml:space="preserve"> verknüpft</w:t>
      </w:r>
      <w:r w:rsidR="00496547" w:rsidRPr="00A7115E">
        <w:rPr>
          <w:rFonts w:ascii="Arial" w:hAnsi="Arial" w:cs="Arial"/>
          <w:sz w:val="21"/>
          <w:szCs w:val="21"/>
        </w:rPr>
        <w:t>: Je besser</w:t>
      </w:r>
      <w:r w:rsidR="00496547" w:rsidRPr="00496547">
        <w:rPr>
          <w:rFonts w:ascii="Arial" w:hAnsi="Arial" w:cs="Arial"/>
          <w:sz w:val="21"/>
          <w:szCs w:val="21"/>
        </w:rPr>
        <w:t xml:space="preserve"> Covestro dabei abschneidet, desto geringer fällt die Zinskomponente der Kredit</w:t>
      </w:r>
      <w:r w:rsidR="00D7407E">
        <w:rPr>
          <w:rFonts w:ascii="Arial" w:hAnsi="Arial" w:cs="Arial"/>
          <w:sz w:val="21"/>
          <w:szCs w:val="21"/>
        </w:rPr>
        <w:t>linie</w:t>
      </w:r>
      <w:r w:rsidR="00496547" w:rsidRPr="00496547">
        <w:rPr>
          <w:rFonts w:ascii="Arial" w:hAnsi="Arial" w:cs="Arial"/>
          <w:sz w:val="21"/>
          <w:szCs w:val="21"/>
        </w:rPr>
        <w:t xml:space="preserve"> aus</w:t>
      </w:r>
      <w:r w:rsidR="005F2A0B">
        <w:rPr>
          <w:rFonts w:ascii="Arial" w:hAnsi="Arial" w:cs="Arial"/>
          <w:sz w:val="21"/>
          <w:szCs w:val="21"/>
        </w:rPr>
        <w:t>.</w:t>
      </w:r>
    </w:p>
    <w:p w14:paraId="6B5F75F1" w14:textId="29BB2FCF" w:rsidR="00EB6881" w:rsidRDefault="00EB6881" w:rsidP="004D0E37">
      <w:pPr>
        <w:pStyle w:val="paragraph"/>
        <w:spacing w:before="0" w:beforeAutospacing="0" w:after="0" w:afterAutospacing="0" w:line="300" w:lineRule="atLeast"/>
        <w:textAlignment w:val="baseline"/>
        <w:rPr>
          <w:rFonts w:ascii="Arial" w:hAnsi="Arial" w:cs="Arial"/>
          <w:b/>
          <w:bCs/>
          <w:sz w:val="21"/>
          <w:szCs w:val="21"/>
        </w:rPr>
      </w:pPr>
    </w:p>
    <w:p w14:paraId="0D25E6F4" w14:textId="77777777" w:rsidR="001F25B2" w:rsidRDefault="001F25B2" w:rsidP="004D0E37">
      <w:pPr>
        <w:pStyle w:val="paragraph"/>
        <w:spacing w:before="0" w:beforeAutospacing="0" w:after="0" w:afterAutospacing="0" w:line="300" w:lineRule="atLeast"/>
        <w:textAlignment w:val="baseline"/>
        <w:rPr>
          <w:rFonts w:ascii="Arial" w:hAnsi="Arial" w:cs="Arial"/>
          <w:b/>
          <w:bCs/>
          <w:sz w:val="21"/>
          <w:szCs w:val="21"/>
        </w:rPr>
      </w:pPr>
    </w:p>
    <w:p w14:paraId="1DFA0531" w14:textId="4B2267CA" w:rsidR="005F09B0" w:rsidRPr="0085657E" w:rsidRDefault="006B0771" w:rsidP="004D0E37">
      <w:pPr>
        <w:pStyle w:val="paragraph"/>
        <w:spacing w:before="0" w:beforeAutospacing="0" w:after="0" w:afterAutospacing="0" w:line="300" w:lineRule="atLeast"/>
        <w:textAlignment w:val="baseline"/>
        <w:rPr>
          <w:rFonts w:ascii="Arial" w:hAnsi="Arial" w:cs="Arial"/>
          <w:b/>
          <w:bCs/>
          <w:sz w:val="21"/>
          <w:szCs w:val="21"/>
        </w:rPr>
      </w:pPr>
      <w:r w:rsidRPr="0085657E">
        <w:rPr>
          <w:rFonts w:ascii="Arial" w:hAnsi="Arial" w:cs="Arial"/>
          <w:b/>
          <w:bCs/>
          <w:sz w:val="21"/>
          <w:szCs w:val="21"/>
        </w:rPr>
        <w:lastRenderedPageBreak/>
        <w:t>Neuausrichtung</w:t>
      </w:r>
      <w:r w:rsidR="00786676" w:rsidRPr="0085657E">
        <w:rPr>
          <w:rFonts w:ascii="Arial" w:hAnsi="Arial" w:cs="Arial"/>
          <w:b/>
          <w:bCs/>
          <w:sz w:val="21"/>
          <w:szCs w:val="21"/>
        </w:rPr>
        <w:t xml:space="preserve"> der Strategie</w:t>
      </w:r>
      <w:r w:rsidR="00207F22" w:rsidRPr="0085657E">
        <w:rPr>
          <w:rFonts w:ascii="Arial" w:hAnsi="Arial" w:cs="Arial"/>
          <w:b/>
          <w:bCs/>
          <w:sz w:val="21"/>
          <w:szCs w:val="21"/>
        </w:rPr>
        <w:t>: Vision als Leitprinzip</w:t>
      </w:r>
    </w:p>
    <w:p w14:paraId="01F48342" w14:textId="77777777" w:rsidR="001F25B2" w:rsidRPr="0085657E" w:rsidRDefault="001F25B2" w:rsidP="004D0E37">
      <w:pPr>
        <w:pStyle w:val="paragraph"/>
        <w:spacing w:before="0" w:beforeAutospacing="0" w:after="0" w:afterAutospacing="0" w:line="300" w:lineRule="atLeast"/>
        <w:textAlignment w:val="baseline"/>
        <w:rPr>
          <w:rFonts w:ascii="Arial" w:hAnsi="Arial" w:cs="Arial"/>
          <w:b/>
          <w:bCs/>
          <w:sz w:val="21"/>
          <w:szCs w:val="21"/>
        </w:rPr>
      </w:pPr>
    </w:p>
    <w:p w14:paraId="4C6C2FB0" w14:textId="0860AD24" w:rsidR="008A07E6" w:rsidRPr="0085657E" w:rsidRDefault="00DC3CE7" w:rsidP="004D0E37">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 xml:space="preserve">Mit dem Ziel </w:t>
      </w:r>
      <w:r w:rsidR="00D840FB" w:rsidRPr="0085657E">
        <w:rPr>
          <w:rFonts w:ascii="Arial" w:hAnsi="Arial" w:cs="Arial"/>
          <w:sz w:val="21"/>
          <w:szCs w:val="21"/>
        </w:rPr>
        <w:t xml:space="preserve">der </w:t>
      </w:r>
      <w:r w:rsidR="00A70338" w:rsidRPr="0085657E">
        <w:rPr>
          <w:rFonts w:ascii="Arial" w:hAnsi="Arial" w:cs="Arial"/>
          <w:sz w:val="21"/>
          <w:szCs w:val="21"/>
        </w:rPr>
        <w:t xml:space="preserve">vollständigen </w:t>
      </w:r>
      <w:r w:rsidR="008A07E6" w:rsidRPr="0085657E">
        <w:rPr>
          <w:rFonts w:ascii="Arial" w:hAnsi="Arial" w:cs="Arial"/>
          <w:sz w:val="21"/>
          <w:szCs w:val="21"/>
        </w:rPr>
        <w:t>Ausrichtung auf die Kreislaufwirtschaft und als</w:t>
      </w:r>
      <w:r w:rsidR="00190643" w:rsidRPr="0085657E">
        <w:rPr>
          <w:rFonts w:ascii="Arial" w:hAnsi="Arial" w:cs="Arial"/>
          <w:sz w:val="21"/>
          <w:szCs w:val="21"/>
        </w:rPr>
        <w:t xml:space="preserve"> Antwort auf </w:t>
      </w:r>
      <w:r w:rsidR="008A07E6" w:rsidRPr="0085657E">
        <w:rPr>
          <w:rFonts w:ascii="Arial" w:hAnsi="Arial" w:cs="Arial"/>
          <w:sz w:val="21"/>
          <w:szCs w:val="21"/>
        </w:rPr>
        <w:t xml:space="preserve">sich verändernde Markterwartungen hat Covestro seine Konzernstrategie </w:t>
      </w:r>
      <w:r w:rsidR="009B56E1" w:rsidRPr="0085657E">
        <w:rPr>
          <w:rFonts w:ascii="Arial" w:hAnsi="Arial" w:cs="Arial"/>
          <w:sz w:val="21"/>
          <w:szCs w:val="21"/>
        </w:rPr>
        <w:t xml:space="preserve">konsequent </w:t>
      </w:r>
      <w:r w:rsidR="0018363D" w:rsidRPr="0085657E">
        <w:rPr>
          <w:rFonts w:ascii="Arial" w:hAnsi="Arial" w:cs="Arial"/>
          <w:sz w:val="21"/>
          <w:szCs w:val="21"/>
        </w:rPr>
        <w:t>weiterentwickelt</w:t>
      </w:r>
      <w:r w:rsidR="008A07E6" w:rsidRPr="0085657E">
        <w:rPr>
          <w:rFonts w:ascii="Arial" w:hAnsi="Arial" w:cs="Arial"/>
          <w:sz w:val="21"/>
          <w:szCs w:val="21"/>
        </w:rPr>
        <w:t>.</w:t>
      </w:r>
      <w:r w:rsidR="00AC2765" w:rsidRPr="0085657E">
        <w:rPr>
          <w:rFonts w:ascii="Arial" w:hAnsi="Arial" w:cs="Arial"/>
          <w:sz w:val="21"/>
          <w:szCs w:val="21"/>
        </w:rPr>
        <w:t xml:space="preserve"> </w:t>
      </w:r>
    </w:p>
    <w:p w14:paraId="16F70912" w14:textId="77777777" w:rsidR="00AC2765" w:rsidRPr="0085657E" w:rsidRDefault="00AC2765" w:rsidP="004D0E37">
      <w:pPr>
        <w:pStyle w:val="paragraph"/>
        <w:spacing w:before="0" w:beforeAutospacing="0" w:after="0" w:afterAutospacing="0" w:line="300" w:lineRule="atLeast"/>
        <w:textAlignment w:val="baseline"/>
        <w:rPr>
          <w:rFonts w:ascii="Arial" w:hAnsi="Arial" w:cs="Arial"/>
          <w:sz w:val="21"/>
          <w:szCs w:val="21"/>
        </w:rPr>
      </w:pPr>
    </w:p>
    <w:p w14:paraId="2EC0129E" w14:textId="2563107A" w:rsidR="0030699F" w:rsidRPr="0085657E" w:rsidRDefault="008A07E6" w:rsidP="004D0E37">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Im Fokus stehen</w:t>
      </w:r>
      <w:r w:rsidR="00DF05C5" w:rsidRPr="0085657E">
        <w:rPr>
          <w:rFonts w:ascii="Arial" w:hAnsi="Arial" w:cs="Arial"/>
          <w:sz w:val="21"/>
          <w:szCs w:val="21"/>
        </w:rPr>
        <w:t xml:space="preserve"> dabei</w:t>
      </w:r>
      <w:r w:rsidRPr="0085657E">
        <w:rPr>
          <w:rFonts w:ascii="Arial" w:hAnsi="Arial" w:cs="Arial"/>
          <w:sz w:val="21"/>
          <w:szCs w:val="21"/>
        </w:rPr>
        <w:t xml:space="preserve"> eine geschärfte Kundenorientierung und nachhaltiges Wachstum. </w:t>
      </w:r>
      <w:r w:rsidR="00C95214" w:rsidRPr="0085657E">
        <w:rPr>
          <w:rFonts w:ascii="Arial" w:hAnsi="Arial" w:cs="Arial"/>
          <w:sz w:val="21"/>
          <w:szCs w:val="21"/>
        </w:rPr>
        <w:t xml:space="preserve">Daher </w:t>
      </w:r>
      <w:r w:rsidR="00BD60E8" w:rsidRPr="0085657E">
        <w:rPr>
          <w:rFonts w:ascii="Arial" w:hAnsi="Arial" w:cs="Arial"/>
          <w:sz w:val="21"/>
          <w:szCs w:val="21"/>
        </w:rPr>
        <w:t xml:space="preserve">plant </w:t>
      </w:r>
      <w:r w:rsidR="0064305F" w:rsidRPr="0085657E">
        <w:rPr>
          <w:rFonts w:ascii="Arial" w:hAnsi="Arial" w:cs="Arial"/>
          <w:sz w:val="21"/>
          <w:szCs w:val="21"/>
        </w:rPr>
        <w:t>Covestr</w:t>
      </w:r>
      <w:r w:rsidR="00B9574D" w:rsidRPr="0085657E">
        <w:rPr>
          <w:rFonts w:ascii="Arial" w:hAnsi="Arial" w:cs="Arial"/>
          <w:sz w:val="21"/>
          <w:szCs w:val="21"/>
        </w:rPr>
        <w:t>o</w:t>
      </w:r>
      <w:r w:rsidR="00BA0D7F" w:rsidRPr="0085657E">
        <w:rPr>
          <w:rFonts w:ascii="Arial" w:hAnsi="Arial" w:cs="Arial"/>
          <w:sz w:val="21"/>
          <w:szCs w:val="21"/>
        </w:rPr>
        <w:t>,</w:t>
      </w:r>
      <w:r w:rsidRPr="0085657E">
        <w:rPr>
          <w:rFonts w:ascii="Arial" w:hAnsi="Arial" w:cs="Arial"/>
          <w:sz w:val="21"/>
          <w:szCs w:val="21"/>
        </w:rPr>
        <w:t xml:space="preserve"> sein Geschäft ab </w:t>
      </w:r>
      <w:r w:rsidR="00F6075F" w:rsidRPr="0085657E">
        <w:rPr>
          <w:rFonts w:ascii="Arial" w:hAnsi="Arial" w:cs="Arial"/>
          <w:sz w:val="21"/>
          <w:szCs w:val="21"/>
        </w:rPr>
        <w:t xml:space="preserve">1. </w:t>
      </w:r>
      <w:r w:rsidR="00685FB6" w:rsidRPr="0085657E">
        <w:rPr>
          <w:rFonts w:ascii="Arial" w:hAnsi="Arial" w:cs="Arial"/>
          <w:sz w:val="21"/>
          <w:szCs w:val="21"/>
        </w:rPr>
        <w:t xml:space="preserve">Juli </w:t>
      </w:r>
      <w:r w:rsidR="006C7BDD" w:rsidRPr="0085657E">
        <w:rPr>
          <w:rFonts w:ascii="Arial" w:hAnsi="Arial" w:cs="Arial"/>
          <w:sz w:val="21"/>
          <w:szCs w:val="21"/>
        </w:rPr>
        <w:t>2021</w:t>
      </w:r>
      <w:r w:rsidRPr="0085657E">
        <w:rPr>
          <w:rFonts w:ascii="Arial" w:hAnsi="Arial" w:cs="Arial"/>
          <w:sz w:val="21"/>
          <w:szCs w:val="21"/>
        </w:rPr>
        <w:t xml:space="preserve"> in einer neuen, maßgeschneiderten Struktur</w:t>
      </w:r>
      <w:r w:rsidR="002306F1" w:rsidRPr="0085657E">
        <w:rPr>
          <w:rFonts w:ascii="Arial" w:hAnsi="Arial" w:cs="Arial"/>
          <w:sz w:val="21"/>
          <w:szCs w:val="21"/>
        </w:rPr>
        <w:t xml:space="preserve"> </w:t>
      </w:r>
      <w:r w:rsidR="005C7325" w:rsidRPr="0085657E">
        <w:rPr>
          <w:rFonts w:ascii="Arial" w:hAnsi="Arial" w:cs="Arial"/>
          <w:sz w:val="21"/>
          <w:szCs w:val="21"/>
        </w:rPr>
        <w:t xml:space="preserve">mit sieben </w:t>
      </w:r>
      <w:r w:rsidR="007D4A57" w:rsidRPr="0085657E">
        <w:rPr>
          <w:rFonts w:ascii="Arial" w:hAnsi="Arial" w:cs="Arial"/>
          <w:sz w:val="21"/>
          <w:szCs w:val="21"/>
        </w:rPr>
        <w:t xml:space="preserve">operativen </w:t>
      </w:r>
      <w:r w:rsidR="005C7325" w:rsidRPr="0085657E">
        <w:rPr>
          <w:rFonts w:ascii="Arial" w:hAnsi="Arial" w:cs="Arial"/>
          <w:sz w:val="21"/>
          <w:szCs w:val="21"/>
        </w:rPr>
        <w:t xml:space="preserve">Geschäftseinheiten </w:t>
      </w:r>
      <w:r w:rsidR="002306F1" w:rsidRPr="0085657E">
        <w:rPr>
          <w:rFonts w:ascii="Arial" w:hAnsi="Arial" w:cs="Arial"/>
          <w:sz w:val="21"/>
          <w:szCs w:val="21"/>
        </w:rPr>
        <w:t>zu</w:t>
      </w:r>
      <w:r w:rsidRPr="0085657E">
        <w:rPr>
          <w:rFonts w:ascii="Arial" w:hAnsi="Arial" w:cs="Arial"/>
          <w:sz w:val="21"/>
          <w:szCs w:val="21"/>
        </w:rPr>
        <w:t xml:space="preserve"> führen</w:t>
      </w:r>
      <w:r w:rsidR="005C7325" w:rsidRPr="0085657E">
        <w:rPr>
          <w:rFonts w:ascii="Arial" w:hAnsi="Arial" w:cs="Arial"/>
          <w:sz w:val="21"/>
          <w:szCs w:val="21"/>
        </w:rPr>
        <w:t xml:space="preserve">, die auf die Kundenbedürfnisse und Wettbewerbslandschaft zugeschnitten </w:t>
      </w:r>
      <w:r w:rsidR="007D4A57" w:rsidRPr="0085657E">
        <w:rPr>
          <w:rFonts w:ascii="Arial" w:hAnsi="Arial" w:cs="Arial"/>
          <w:sz w:val="21"/>
          <w:szCs w:val="21"/>
        </w:rPr>
        <w:t>sind</w:t>
      </w:r>
      <w:r w:rsidRPr="0085657E">
        <w:rPr>
          <w:rFonts w:ascii="Arial" w:hAnsi="Arial" w:cs="Arial"/>
          <w:sz w:val="21"/>
          <w:szCs w:val="21"/>
        </w:rPr>
        <w:t xml:space="preserve">. </w:t>
      </w:r>
      <w:r w:rsidR="009C4F17" w:rsidRPr="0085657E">
        <w:rPr>
          <w:rFonts w:ascii="Arial" w:hAnsi="Arial" w:cs="Arial"/>
          <w:sz w:val="21"/>
          <w:szCs w:val="21"/>
        </w:rPr>
        <w:t>Der Konzern</w:t>
      </w:r>
      <w:r w:rsidRPr="0085657E">
        <w:rPr>
          <w:rFonts w:ascii="Arial" w:hAnsi="Arial" w:cs="Arial"/>
          <w:sz w:val="21"/>
          <w:szCs w:val="21"/>
        </w:rPr>
        <w:t xml:space="preserve"> </w:t>
      </w:r>
      <w:r w:rsidR="00695050" w:rsidRPr="0085657E">
        <w:rPr>
          <w:rFonts w:ascii="Arial" w:hAnsi="Arial" w:cs="Arial"/>
          <w:sz w:val="21"/>
          <w:szCs w:val="21"/>
        </w:rPr>
        <w:t>untersche</w:t>
      </w:r>
      <w:r w:rsidR="008A7C56" w:rsidRPr="0085657E">
        <w:rPr>
          <w:rFonts w:ascii="Arial" w:hAnsi="Arial" w:cs="Arial"/>
          <w:sz w:val="21"/>
          <w:szCs w:val="21"/>
        </w:rPr>
        <w:t>i</w:t>
      </w:r>
      <w:r w:rsidR="00695050" w:rsidRPr="0085657E">
        <w:rPr>
          <w:rFonts w:ascii="Arial" w:hAnsi="Arial" w:cs="Arial"/>
          <w:sz w:val="21"/>
          <w:szCs w:val="21"/>
        </w:rPr>
        <w:t xml:space="preserve">det </w:t>
      </w:r>
      <w:r w:rsidRPr="0085657E">
        <w:rPr>
          <w:rFonts w:ascii="Arial" w:hAnsi="Arial" w:cs="Arial"/>
          <w:sz w:val="21"/>
          <w:szCs w:val="21"/>
        </w:rPr>
        <w:t xml:space="preserve">künftig </w:t>
      </w:r>
      <w:r w:rsidR="00695050" w:rsidRPr="0085657E">
        <w:rPr>
          <w:rFonts w:ascii="Arial" w:hAnsi="Arial" w:cs="Arial"/>
          <w:sz w:val="21"/>
          <w:szCs w:val="21"/>
        </w:rPr>
        <w:t>die zwei Bereiche</w:t>
      </w:r>
      <w:r w:rsidRPr="0085657E">
        <w:rPr>
          <w:rFonts w:ascii="Arial" w:hAnsi="Arial" w:cs="Arial"/>
          <w:sz w:val="21"/>
          <w:szCs w:val="21"/>
        </w:rPr>
        <w:t xml:space="preserve"> Performance-Materialien </w:t>
      </w:r>
      <w:r w:rsidR="000B5784" w:rsidRPr="0085657E">
        <w:rPr>
          <w:rFonts w:ascii="Arial" w:hAnsi="Arial" w:cs="Arial"/>
          <w:sz w:val="21"/>
          <w:szCs w:val="21"/>
        </w:rPr>
        <w:t>sowie</w:t>
      </w:r>
      <w:r w:rsidRPr="0085657E">
        <w:rPr>
          <w:rFonts w:ascii="Arial" w:hAnsi="Arial" w:cs="Arial"/>
          <w:sz w:val="21"/>
          <w:szCs w:val="21"/>
        </w:rPr>
        <w:t xml:space="preserve"> </w:t>
      </w:r>
      <w:r w:rsidR="009A4085" w:rsidRPr="0085657E">
        <w:rPr>
          <w:rFonts w:ascii="Arial" w:hAnsi="Arial" w:cs="Arial"/>
          <w:sz w:val="21"/>
          <w:szCs w:val="21"/>
        </w:rPr>
        <w:t xml:space="preserve">das </w:t>
      </w:r>
      <w:r w:rsidRPr="0085657E">
        <w:rPr>
          <w:rFonts w:ascii="Arial" w:hAnsi="Arial" w:cs="Arial"/>
          <w:sz w:val="21"/>
          <w:szCs w:val="21"/>
        </w:rPr>
        <w:t>Lösung</w:t>
      </w:r>
      <w:r w:rsidR="000010F7" w:rsidRPr="0085657E">
        <w:rPr>
          <w:rFonts w:ascii="Arial" w:hAnsi="Arial" w:cs="Arial"/>
          <w:sz w:val="21"/>
          <w:szCs w:val="21"/>
        </w:rPr>
        <w:t xml:space="preserve">s- </w:t>
      </w:r>
      <w:r w:rsidRPr="0085657E">
        <w:rPr>
          <w:rFonts w:ascii="Arial" w:hAnsi="Arial" w:cs="Arial"/>
          <w:sz w:val="21"/>
          <w:szCs w:val="21"/>
        </w:rPr>
        <w:t>und Spezialitäten</w:t>
      </w:r>
      <w:r w:rsidR="000010F7" w:rsidRPr="0085657E">
        <w:rPr>
          <w:rFonts w:ascii="Arial" w:hAnsi="Arial" w:cs="Arial"/>
          <w:sz w:val="21"/>
          <w:szCs w:val="21"/>
        </w:rPr>
        <w:t>geschäf</w:t>
      </w:r>
      <w:r w:rsidR="00524486" w:rsidRPr="0085657E">
        <w:rPr>
          <w:rFonts w:ascii="Arial" w:hAnsi="Arial" w:cs="Arial"/>
          <w:sz w:val="21"/>
          <w:szCs w:val="21"/>
        </w:rPr>
        <w:t>t</w:t>
      </w:r>
      <w:r w:rsidRPr="0085657E">
        <w:rPr>
          <w:rFonts w:ascii="Arial" w:hAnsi="Arial" w:cs="Arial"/>
          <w:sz w:val="21"/>
          <w:szCs w:val="21"/>
        </w:rPr>
        <w:t>.</w:t>
      </w:r>
    </w:p>
    <w:p w14:paraId="4B75C7E9" w14:textId="77777777" w:rsidR="007459FB" w:rsidRPr="0085657E" w:rsidRDefault="007459FB" w:rsidP="004D0E37">
      <w:pPr>
        <w:pStyle w:val="paragraph"/>
        <w:spacing w:before="0" w:beforeAutospacing="0" w:after="0" w:afterAutospacing="0" w:line="300" w:lineRule="atLeast"/>
        <w:textAlignment w:val="baseline"/>
        <w:rPr>
          <w:rFonts w:ascii="Arial" w:eastAsia="Arial" w:hAnsi="Arial" w:cs="Arial"/>
          <w:b/>
          <w:bCs/>
          <w:noProof/>
          <w:spacing w:val="-2"/>
          <w:kern w:val="21"/>
          <w:sz w:val="21"/>
          <w:szCs w:val="21"/>
          <w:lang w:eastAsia="de-DE" w:bidi="ar-SA"/>
        </w:rPr>
      </w:pPr>
    </w:p>
    <w:p w14:paraId="34B13372" w14:textId="517C6008" w:rsidR="007459FB" w:rsidRPr="0085657E" w:rsidRDefault="007459FB" w:rsidP="004142E2">
      <w:pPr>
        <w:pStyle w:val="Listenabsatz"/>
        <w:numPr>
          <w:ilvl w:val="0"/>
          <w:numId w:val="10"/>
        </w:numPr>
        <w:spacing w:after="0" w:line="300" w:lineRule="atLeast"/>
        <w:ind w:left="360"/>
        <w:rPr>
          <w:bCs/>
          <w:lang w:val="de-DE"/>
        </w:rPr>
      </w:pPr>
      <w:r w:rsidRPr="0085657E">
        <w:rPr>
          <w:b/>
          <w:lang w:val="de-DE"/>
        </w:rPr>
        <w:t>Performance-Materialien</w:t>
      </w:r>
      <w:r w:rsidRPr="0085657E">
        <w:rPr>
          <w:bCs/>
          <w:lang w:val="de-DE"/>
        </w:rPr>
        <w:t xml:space="preserve">: Dieser Bereich </w:t>
      </w:r>
      <w:r w:rsidR="004857E7" w:rsidRPr="0085657E">
        <w:rPr>
          <w:bCs/>
          <w:lang w:val="de-DE"/>
        </w:rPr>
        <w:t>wird</w:t>
      </w:r>
      <w:r w:rsidRPr="0085657E">
        <w:rPr>
          <w:bCs/>
          <w:lang w:val="de-DE"/>
        </w:rPr>
        <w:t xml:space="preserve"> eine eigene Geschäftseinheit </w:t>
      </w:r>
      <w:r w:rsidR="004857E7" w:rsidRPr="0085657E">
        <w:rPr>
          <w:bCs/>
          <w:lang w:val="de-DE"/>
        </w:rPr>
        <w:t xml:space="preserve">bilden </w:t>
      </w:r>
      <w:r w:rsidRPr="0085657E">
        <w:rPr>
          <w:bCs/>
          <w:lang w:val="de-DE"/>
        </w:rPr>
        <w:t>und Standard-Polycarbonate, Standard-</w:t>
      </w:r>
      <w:r w:rsidR="00B1017A" w:rsidRPr="0085657E">
        <w:rPr>
          <w:bCs/>
          <w:lang w:val="de-DE"/>
        </w:rPr>
        <w:t>U</w:t>
      </w:r>
      <w:r w:rsidRPr="0085657E">
        <w:rPr>
          <w:bCs/>
          <w:lang w:val="de-DE"/>
        </w:rPr>
        <w:t>rethankomponenten sowie Basischemikalien</w:t>
      </w:r>
      <w:r w:rsidR="004857E7" w:rsidRPr="0085657E">
        <w:rPr>
          <w:bCs/>
          <w:lang w:val="de-DE"/>
        </w:rPr>
        <w:t xml:space="preserve"> umfassen.</w:t>
      </w:r>
    </w:p>
    <w:p w14:paraId="26328209" w14:textId="05597BFE" w:rsidR="007459FB" w:rsidRPr="0085657E" w:rsidRDefault="007459FB" w:rsidP="00EA45E9">
      <w:pPr>
        <w:pStyle w:val="Listenabsatz"/>
        <w:numPr>
          <w:ilvl w:val="0"/>
          <w:numId w:val="10"/>
        </w:numPr>
        <w:spacing w:after="0" w:line="300" w:lineRule="atLeast"/>
        <w:ind w:left="360"/>
        <w:rPr>
          <w:b/>
          <w:lang w:val="de-DE"/>
        </w:rPr>
      </w:pPr>
      <w:r w:rsidRPr="0085657E">
        <w:rPr>
          <w:b/>
          <w:lang w:val="de-DE"/>
        </w:rPr>
        <w:t xml:space="preserve">Lösungs- und Spezialitätengeschäft: </w:t>
      </w:r>
      <w:r w:rsidRPr="0085657E">
        <w:rPr>
          <w:bCs/>
          <w:lang w:val="de-DE"/>
        </w:rPr>
        <w:t xml:space="preserve">In diesem Bereich </w:t>
      </w:r>
      <w:r w:rsidR="004857E7" w:rsidRPr="0085657E">
        <w:rPr>
          <w:bCs/>
          <w:lang w:val="de-DE"/>
        </w:rPr>
        <w:t xml:space="preserve">werden </w:t>
      </w:r>
      <w:r w:rsidRPr="0085657E">
        <w:rPr>
          <w:bCs/>
          <w:lang w:val="de-DE"/>
        </w:rPr>
        <w:t xml:space="preserve">die </w:t>
      </w:r>
      <w:r w:rsidR="004857E7" w:rsidRPr="0085657E">
        <w:rPr>
          <w:bCs/>
          <w:lang w:val="de-DE"/>
        </w:rPr>
        <w:t xml:space="preserve">sechs </w:t>
      </w:r>
      <w:r w:rsidRPr="0085657E">
        <w:rPr>
          <w:bCs/>
          <w:lang w:val="de-DE"/>
        </w:rPr>
        <w:t xml:space="preserve">Geschäftseinheiten Maßgeschneiderte Urethankomponenten, Beschichtungen und Klebstoffe, Technische Kunststoffe, Spezialfolien, Elastomere </w:t>
      </w:r>
      <w:r w:rsidR="00E73C5D" w:rsidRPr="0085657E">
        <w:rPr>
          <w:bCs/>
          <w:lang w:val="de-DE"/>
        </w:rPr>
        <w:t>sowie</w:t>
      </w:r>
      <w:r w:rsidRPr="0085657E">
        <w:rPr>
          <w:bCs/>
          <w:lang w:val="de-DE"/>
        </w:rPr>
        <w:t xml:space="preserve"> Thermoplastische Polyurethane angesiedelt</w:t>
      </w:r>
      <w:r w:rsidR="004857E7" w:rsidRPr="0085657E">
        <w:rPr>
          <w:bCs/>
          <w:lang w:val="de-DE"/>
        </w:rPr>
        <w:t xml:space="preserve"> sein</w:t>
      </w:r>
      <w:r w:rsidRPr="0085657E">
        <w:rPr>
          <w:bCs/>
          <w:lang w:val="de-DE"/>
        </w:rPr>
        <w:t>.</w:t>
      </w:r>
      <w:r w:rsidRPr="0085657E">
        <w:rPr>
          <w:b/>
          <w:lang w:val="de-DE"/>
        </w:rPr>
        <w:t xml:space="preserve"> </w:t>
      </w:r>
    </w:p>
    <w:p w14:paraId="78DD28D1" w14:textId="5773E54B" w:rsidR="0030699F" w:rsidRPr="0085657E" w:rsidRDefault="0030699F" w:rsidP="004D0E37">
      <w:pPr>
        <w:pStyle w:val="paragraph"/>
        <w:spacing w:before="0" w:beforeAutospacing="0" w:after="0" w:afterAutospacing="0" w:line="300" w:lineRule="atLeast"/>
        <w:textAlignment w:val="baseline"/>
        <w:rPr>
          <w:rFonts w:ascii="Arial" w:hAnsi="Arial" w:cs="Arial"/>
          <w:sz w:val="21"/>
          <w:szCs w:val="21"/>
        </w:rPr>
      </w:pPr>
    </w:p>
    <w:p w14:paraId="1A6FCF7F" w14:textId="6A1B9F14" w:rsidR="0030699F" w:rsidRPr="0085657E" w:rsidRDefault="006171B5" w:rsidP="004D0E37">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Covestro vereint d</w:t>
      </w:r>
      <w:r w:rsidR="007B4C25" w:rsidRPr="0085657E">
        <w:rPr>
          <w:rFonts w:ascii="Arial" w:hAnsi="Arial" w:cs="Arial"/>
          <w:sz w:val="21"/>
          <w:szCs w:val="21"/>
        </w:rPr>
        <w:t xml:space="preserve">ie konsequente Ausrichtung von Prozessen und Produkten </w:t>
      </w:r>
      <w:r w:rsidR="005F68A5" w:rsidRPr="0085657E">
        <w:rPr>
          <w:rFonts w:ascii="Arial" w:hAnsi="Arial" w:cs="Arial"/>
          <w:sz w:val="21"/>
          <w:szCs w:val="21"/>
        </w:rPr>
        <w:t xml:space="preserve">entlang </w:t>
      </w:r>
      <w:r w:rsidR="007B4C25" w:rsidRPr="0085657E">
        <w:rPr>
          <w:rFonts w:ascii="Arial" w:hAnsi="Arial" w:cs="Arial"/>
          <w:sz w:val="21"/>
          <w:szCs w:val="21"/>
        </w:rPr>
        <w:t>de</w:t>
      </w:r>
      <w:r w:rsidR="005F68A5" w:rsidRPr="0085657E">
        <w:rPr>
          <w:rFonts w:ascii="Arial" w:hAnsi="Arial" w:cs="Arial"/>
          <w:sz w:val="21"/>
          <w:szCs w:val="21"/>
        </w:rPr>
        <w:t>r</w:t>
      </w:r>
      <w:r w:rsidR="007B4C25" w:rsidRPr="0085657E">
        <w:rPr>
          <w:rFonts w:ascii="Arial" w:hAnsi="Arial" w:cs="Arial"/>
          <w:sz w:val="21"/>
          <w:szCs w:val="21"/>
        </w:rPr>
        <w:t xml:space="preserve"> Bedürfnisse seiner Kunden mit einem stärkeren Fokus auf Wirtschaftlichkeit und Nachhaltigkeit. </w:t>
      </w:r>
      <w:r w:rsidR="004073A1" w:rsidRPr="0085657E">
        <w:rPr>
          <w:rFonts w:ascii="Arial" w:hAnsi="Arial" w:cs="Arial"/>
          <w:sz w:val="21"/>
          <w:szCs w:val="21"/>
        </w:rPr>
        <w:t>Der Konzern</w:t>
      </w:r>
      <w:r w:rsidR="0030699F" w:rsidRPr="0085657E">
        <w:rPr>
          <w:rFonts w:ascii="Arial" w:hAnsi="Arial" w:cs="Arial"/>
          <w:sz w:val="21"/>
          <w:szCs w:val="21"/>
        </w:rPr>
        <w:t xml:space="preserve"> orientiert sich </w:t>
      </w:r>
      <w:r w:rsidR="00FD10C5" w:rsidRPr="0085657E">
        <w:rPr>
          <w:rFonts w:ascii="Arial" w:hAnsi="Arial" w:cs="Arial"/>
          <w:sz w:val="21"/>
          <w:szCs w:val="21"/>
        </w:rPr>
        <w:t xml:space="preserve">dazu </w:t>
      </w:r>
      <w:r w:rsidR="007B4C25" w:rsidRPr="0085657E">
        <w:rPr>
          <w:rFonts w:ascii="Arial" w:hAnsi="Arial" w:cs="Arial"/>
          <w:sz w:val="21"/>
          <w:szCs w:val="21"/>
        </w:rPr>
        <w:t xml:space="preserve">künftig </w:t>
      </w:r>
      <w:r w:rsidR="0030699F" w:rsidRPr="0085657E">
        <w:rPr>
          <w:rFonts w:ascii="Arial" w:hAnsi="Arial" w:cs="Arial"/>
          <w:sz w:val="21"/>
          <w:szCs w:val="21"/>
        </w:rPr>
        <w:t>bei Investitionen, Akquisitionen</w:t>
      </w:r>
      <w:r w:rsidR="004073A1" w:rsidRPr="0085657E">
        <w:rPr>
          <w:rFonts w:ascii="Arial" w:hAnsi="Arial" w:cs="Arial"/>
          <w:sz w:val="21"/>
          <w:szCs w:val="21"/>
        </w:rPr>
        <w:t xml:space="preserve"> sowie</w:t>
      </w:r>
      <w:r w:rsidR="0030699F" w:rsidRPr="0085657E">
        <w:rPr>
          <w:rFonts w:ascii="Arial" w:hAnsi="Arial" w:cs="Arial"/>
          <w:sz w:val="21"/>
          <w:szCs w:val="21"/>
        </w:rPr>
        <w:t xml:space="preserve"> Forschungs- und Entwicklungsaktivitäten </w:t>
      </w:r>
      <w:r w:rsidR="004039A8" w:rsidRPr="0085657E">
        <w:rPr>
          <w:rFonts w:ascii="Arial" w:hAnsi="Arial" w:cs="Arial"/>
          <w:sz w:val="21"/>
          <w:szCs w:val="21"/>
        </w:rPr>
        <w:t xml:space="preserve">noch </w:t>
      </w:r>
      <w:r w:rsidR="0030699F" w:rsidRPr="0085657E">
        <w:rPr>
          <w:rFonts w:ascii="Arial" w:hAnsi="Arial" w:cs="Arial"/>
          <w:sz w:val="21"/>
          <w:szCs w:val="21"/>
        </w:rPr>
        <w:t>konsequenter an Nachhaltigkeit</w:t>
      </w:r>
      <w:r w:rsidR="007B4C25" w:rsidRPr="0085657E">
        <w:rPr>
          <w:rFonts w:ascii="Arial" w:hAnsi="Arial" w:cs="Arial"/>
          <w:sz w:val="21"/>
          <w:szCs w:val="21"/>
        </w:rPr>
        <w:t>skriterien</w:t>
      </w:r>
      <w:r w:rsidR="0030699F" w:rsidRPr="0085657E">
        <w:rPr>
          <w:rFonts w:ascii="Arial" w:hAnsi="Arial" w:cs="Arial"/>
          <w:sz w:val="21"/>
          <w:szCs w:val="21"/>
        </w:rPr>
        <w:t xml:space="preserve">. Im Zuge der vollständigen Ausrichtung auf die Kreislaufwirtschaft baut </w:t>
      </w:r>
      <w:r w:rsidR="009318FD" w:rsidRPr="0085657E">
        <w:rPr>
          <w:rFonts w:ascii="Arial" w:hAnsi="Arial" w:cs="Arial"/>
          <w:sz w:val="21"/>
          <w:szCs w:val="21"/>
        </w:rPr>
        <w:t>Covestro</w:t>
      </w:r>
      <w:r w:rsidR="0030699F" w:rsidRPr="0085657E">
        <w:rPr>
          <w:rFonts w:ascii="Arial" w:hAnsi="Arial" w:cs="Arial"/>
          <w:sz w:val="21"/>
          <w:szCs w:val="21"/>
        </w:rPr>
        <w:t xml:space="preserve"> sein Portfolio an zirkulären Produkten zudem gezielt aus.</w:t>
      </w:r>
    </w:p>
    <w:p w14:paraId="4E77F475" w14:textId="77777777" w:rsidR="0030699F" w:rsidRPr="0085657E" w:rsidRDefault="0030699F" w:rsidP="004D0E37">
      <w:pPr>
        <w:pStyle w:val="paragraph"/>
        <w:spacing w:before="0" w:beforeAutospacing="0" w:after="0" w:afterAutospacing="0" w:line="300" w:lineRule="atLeast"/>
        <w:textAlignment w:val="baseline"/>
        <w:rPr>
          <w:rFonts w:ascii="Arial" w:hAnsi="Arial" w:cs="Arial"/>
          <w:sz w:val="21"/>
          <w:szCs w:val="21"/>
        </w:rPr>
      </w:pPr>
    </w:p>
    <w:p w14:paraId="04462296" w14:textId="409C5A13" w:rsidR="008A07E6" w:rsidRPr="0085657E" w:rsidRDefault="008A07E6" w:rsidP="004D0E37">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w:t>
      </w:r>
      <w:r w:rsidR="008F0934" w:rsidRPr="0085657E">
        <w:rPr>
          <w:rFonts w:ascii="Arial" w:hAnsi="Arial" w:cs="Arial"/>
          <w:sz w:val="21"/>
          <w:szCs w:val="21"/>
        </w:rPr>
        <w:t>Unsere Vision</w:t>
      </w:r>
      <w:r w:rsidR="00D81F8F" w:rsidRPr="0085657E">
        <w:rPr>
          <w:rFonts w:ascii="Arial" w:hAnsi="Arial" w:cs="Arial"/>
          <w:sz w:val="21"/>
          <w:szCs w:val="21"/>
        </w:rPr>
        <w:t>,</w:t>
      </w:r>
      <w:r w:rsidR="00EB6C65" w:rsidRPr="0085657E">
        <w:rPr>
          <w:rFonts w:ascii="Arial" w:hAnsi="Arial" w:cs="Arial"/>
          <w:sz w:val="21"/>
          <w:szCs w:val="21"/>
        </w:rPr>
        <w:t xml:space="preserve"> Covestro vollständig auf die Kreislaufwirtschaft auszurichten</w:t>
      </w:r>
      <w:r w:rsidR="00D81F8F" w:rsidRPr="0085657E">
        <w:rPr>
          <w:rFonts w:ascii="Arial" w:hAnsi="Arial" w:cs="Arial"/>
          <w:sz w:val="21"/>
          <w:szCs w:val="21"/>
        </w:rPr>
        <w:t>,</w:t>
      </w:r>
      <w:r w:rsidR="008F0934" w:rsidRPr="0085657E">
        <w:rPr>
          <w:rFonts w:ascii="Arial" w:hAnsi="Arial" w:cs="Arial"/>
          <w:sz w:val="21"/>
          <w:szCs w:val="21"/>
        </w:rPr>
        <w:t xml:space="preserve"> gibt die Richtung der Konzernstrategie vor. </w:t>
      </w:r>
      <w:r w:rsidRPr="0085657E">
        <w:rPr>
          <w:rFonts w:ascii="Arial" w:hAnsi="Arial" w:cs="Arial"/>
          <w:sz w:val="21"/>
          <w:szCs w:val="21"/>
        </w:rPr>
        <w:t xml:space="preserve">Mit der neuen Aufstellung </w:t>
      </w:r>
      <w:r w:rsidR="008F0934" w:rsidRPr="0085657E">
        <w:rPr>
          <w:rFonts w:ascii="Arial" w:hAnsi="Arial" w:cs="Arial"/>
          <w:sz w:val="21"/>
          <w:szCs w:val="21"/>
        </w:rPr>
        <w:t xml:space="preserve">schaffen wir </w:t>
      </w:r>
      <w:r w:rsidR="004D66A0" w:rsidRPr="0085657E">
        <w:rPr>
          <w:rFonts w:ascii="Arial" w:hAnsi="Arial" w:cs="Arial"/>
          <w:sz w:val="21"/>
          <w:szCs w:val="21"/>
        </w:rPr>
        <w:t>di</w:t>
      </w:r>
      <w:r w:rsidR="008F0934" w:rsidRPr="0085657E">
        <w:rPr>
          <w:rFonts w:ascii="Arial" w:hAnsi="Arial" w:cs="Arial"/>
          <w:sz w:val="21"/>
          <w:szCs w:val="21"/>
        </w:rPr>
        <w:t xml:space="preserve">e optimale Ausgangsposition und </w:t>
      </w:r>
      <w:r w:rsidR="00EB6C65" w:rsidRPr="0085657E">
        <w:rPr>
          <w:rFonts w:ascii="Arial" w:hAnsi="Arial" w:cs="Arial"/>
          <w:sz w:val="21"/>
          <w:szCs w:val="21"/>
        </w:rPr>
        <w:t xml:space="preserve">werden </w:t>
      </w:r>
      <w:r w:rsidRPr="0085657E">
        <w:rPr>
          <w:rFonts w:ascii="Arial" w:hAnsi="Arial" w:cs="Arial"/>
          <w:sz w:val="21"/>
          <w:szCs w:val="21"/>
        </w:rPr>
        <w:t>deutlich wettbewerbsfähiger“</w:t>
      </w:r>
      <w:r w:rsidR="0043162A" w:rsidRPr="0085657E">
        <w:rPr>
          <w:rFonts w:ascii="Arial" w:hAnsi="Arial" w:cs="Arial"/>
          <w:sz w:val="21"/>
          <w:szCs w:val="21"/>
        </w:rPr>
        <w:t>,</w:t>
      </w:r>
      <w:r w:rsidRPr="0085657E">
        <w:rPr>
          <w:rFonts w:ascii="Arial" w:hAnsi="Arial" w:cs="Arial"/>
          <w:sz w:val="21"/>
          <w:szCs w:val="21"/>
        </w:rPr>
        <w:t xml:space="preserve"> so Steilemann. „Wir können die Bedürfnisse unserer Kunden noch passgenauer bedienen</w:t>
      </w:r>
      <w:r w:rsidR="00767200" w:rsidRPr="0085657E">
        <w:rPr>
          <w:rFonts w:ascii="Arial" w:hAnsi="Arial" w:cs="Arial"/>
          <w:sz w:val="21"/>
          <w:szCs w:val="21"/>
        </w:rPr>
        <w:t xml:space="preserve">, </w:t>
      </w:r>
      <w:r w:rsidR="008D1A66" w:rsidRPr="0085657E">
        <w:rPr>
          <w:rFonts w:ascii="Arial" w:hAnsi="Arial" w:cs="Arial"/>
          <w:sz w:val="21"/>
          <w:szCs w:val="21"/>
        </w:rPr>
        <w:t xml:space="preserve">stellen </w:t>
      </w:r>
      <w:r w:rsidR="00767200" w:rsidRPr="0085657E">
        <w:rPr>
          <w:rFonts w:ascii="Arial" w:hAnsi="Arial" w:cs="Arial"/>
          <w:sz w:val="21"/>
          <w:szCs w:val="21"/>
        </w:rPr>
        <w:t xml:space="preserve">unser </w:t>
      </w:r>
      <w:r w:rsidRPr="0085657E">
        <w:rPr>
          <w:rFonts w:ascii="Arial" w:hAnsi="Arial" w:cs="Arial"/>
          <w:sz w:val="21"/>
          <w:szCs w:val="21"/>
        </w:rPr>
        <w:t>Unternehmen effizienter und effektiver</w:t>
      </w:r>
      <w:r w:rsidR="00767200" w:rsidRPr="0085657E">
        <w:rPr>
          <w:rFonts w:ascii="Arial" w:hAnsi="Arial" w:cs="Arial"/>
          <w:sz w:val="21"/>
          <w:szCs w:val="21"/>
        </w:rPr>
        <w:t xml:space="preserve"> </w:t>
      </w:r>
      <w:r w:rsidR="000D7D2B" w:rsidRPr="0085657E">
        <w:rPr>
          <w:rFonts w:ascii="Arial" w:hAnsi="Arial" w:cs="Arial"/>
          <w:sz w:val="21"/>
          <w:szCs w:val="21"/>
        </w:rPr>
        <w:t xml:space="preserve">auf </w:t>
      </w:r>
      <w:r w:rsidR="00767200" w:rsidRPr="0085657E">
        <w:rPr>
          <w:rFonts w:ascii="Arial" w:hAnsi="Arial" w:cs="Arial"/>
          <w:sz w:val="21"/>
          <w:szCs w:val="21"/>
        </w:rPr>
        <w:t xml:space="preserve">und </w:t>
      </w:r>
      <w:r w:rsidR="008D1A66" w:rsidRPr="0085657E">
        <w:rPr>
          <w:rFonts w:ascii="Arial" w:hAnsi="Arial" w:cs="Arial"/>
          <w:sz w:val="21"/>
          <w:szCs w:val="21"/>
        </w:rPr>
        <w:t xml:space="preserve">generieren </w:t>
      </w:r>
      <w:r w:rsidR="00767200" w:rsidRPr="0085657E">
        <w:rPr>
          <w:rFonts w:ascii="Arial" w:hAnsi="Arial" w:cs="Arial"/>
          <w:sz w:val="21"/>
          <w:szCs w:val="21"/>
        </w:rPr>
        <w:t>so nachhaltiges Wachstum</w:t>
      </w:r>
      <w:r w:rsidRPr="0085657E">
        <w:rPr>
          <w:rFonts w:ascii="Arial" w:hAnsi="Arial" w:cs="Arial"/>
          <w:sz w:val="21"/>
          <w:szCs w:val="21"/>
        </w:rPr>
        <w:t xml:space="preserve">. </w:t>
      </w:r>
      <w:r w:rsidR="000D7D2B" w:rsidRPr="0085657E">
        <w:rPr>
          <w:rFonts w:ascii="Arial" w:hAnsi="Arial" w:cs="Arial"/>
          <w:sz w:val="21"/>
          <w:szCs w:val="21"/>
        </w:rPr>
        <w:t xml:space="preserve">Damit </w:t>
      </w:r>
      <w:r w:rsidR="00E547F5" w:rsidRPr="0085657E">
        <w:rPr>
          <w:rFonts w:ascii="Arial" w:hAnsi="Arial" w:cs="Arial"/>
          <w:sz w:val="21"/>
          <w:szCs w:val="21"/>
        </w:rPr>
        <w:t>treiben</w:t>
      </w:r>
      <w:r w:rsidR="0011104B" w:rsidRPr="0085657E">
        <w:rPr>
          <w:rFonts w:ascii="Arial" w:hAnsi="Arial" w:cs="Arial"/>
          <w:sz w:val="21"/>
          <w:szCs w:val="21"/>
        </w:rPr>
        <w:t xml:space="preserve"> wir die </w:t>
      </w:r>
      <w:r w:rsidR="0003310D" w:rsidRPr="0085657E">
        <w:rPr>
          <w:rFonts w:ascii="Arial" w:hAnsi="Arial" w:cs="Arial"/>
          <w:sz w:val="21"/>
          <w:szCs w:val="21"/>
        </w:rPr>
        <w:t xml:space="preserve">Transformation </w:t>
      </w:r>
      <w:r w:rsidR="009B3192" w:rsidRPr="0085657E">
        <w:rPr>
          <w:rFonts w:ascii="Arial" w:hAnsi="Arial" w:cs="Arial"/>
          <w:sz w:val="21"/>
          <w:szCs w:val="21"/>
        </w:rPr>
        <w:t xml:space="preserve">hin zur </w:t>
      </w:r>
      <w:r w:rsidR="0011104B" w:rsidRPr="0085657E">
        <w:rPr>
          <w:rFonts w:ascii="Arial" w:hAnsi="Arial" w:cs="Arial"/>
          <w:sz w:val="21"/>
          <w:szCs w:val="21"/>
        </w:rPr>
        <w:t xml:space="preserve">Kreislaufwirtschaft </w:t>
      </w:r>
      <w:r w:rsidR="009B3192" w:rsidRPr="0085657E">
        <w:rPr>
          <w:rFonts w:ascii="Arial" w:hAnsi="Arial" w:cs="Arial"/>
          <w:sz w:val="21"/>
          <w:szCs w:val="21"/>
        </w:rPr>
        <w:t>noch kraftvoller voran</w:t>
      </w:r>
      <w:r w:rsidRPr="0085657E">
        <w:rPr>
          <w:rFonts w:ascii="Arial" w:hAnsi="Arial" w:cs="Arial"/>
          <w:sz w:val="21"/>
          <w:szCs w:val="21"/>
        </w:rPr>
        <w:t>.“</w:t>
      </w:r>
    </w:p>
    <w:p w14:paraId="6A34B920" w14:textId="4382A2B9" w:rsidR="00F24133" w:rsidRPr="0085657E" w:rsidRDefault="00F24133" w:rsidP="004D0E37">
      <w:pPr>
        <w:pStyle w:val="paragraph"/>
        <w:spacing w:before="0" w:beforeAutospacing="0" w:after="0" w:afterAutospacing="0" w:line="300" w:lineRule="atLeast"/>
        <w:textAlignment w:val="baseline"/>
        <w:rPr>
          <w:rFonts w:ascii="Arial" w:hAnsi="Arial" w:cs="Arial"/>
          <w:sz w:val="21"/>
          <w:szCs w:val="21"/>
        </w:rPr>
      </w:pPr>
    </w:p>
    <w:p w14:paraId="4FCC16E7" w14:textId="56E018CE" w:rsidR="002117FF" w:rsidRPr="0085657E" w:rsidRDefault="002117FF" w:rsidP="004D0E37">
      <w:pPr>
        <w:pStyle w:val="paragraph"/>
        <w:spacing w:before="0" w:beforeAutospacing="0" w:after="0" w:afterAutospacing="0" w:line="300" w:lineRule="atLeast"/>
        <w:textAlignment w:val="baseline"/>
        <w:rPr>
          <w:rFonts w:ascii="Arial" w:hAnsi="Arial" w:cs="Arial"/>
          <w:b/>
          <w:bCs/>
          <w:sz w:val="21"/>
          <w:szCs w:val="21"/>
        </w:rPr>
      </w:pPr>
      <w:r w:rsidRPr="0085657E">
        <w:rPr>
          <w:rFonts w:ascii="Arial" w:hAnsi="Arial" w:cs="Arial"/>
          <w:b/>
          <w:bCs/>
          <w:sz w:val="21"/>
          <w:szCs w:val="21"/>
        </w:rPr>
        <w:t xml:space="preserve">Neue Dividendenpolitik </w:t>
      </w:r>
      <w:r w:rsidR="00A66C76" w:rsidRPr="0085657E">
        <w:rPr>
          <w:rFonts w:ascii="Arial" w:hAnsi="Arial" w:cs="Arial"/>
          <w:b/>
          <w:bCs/>
          <w:sz w:val="21"/>
          <w:szCs w:val="21"/>
        </w:rPr>
        <w:t>mit stärkerer Orientierung am Konzernergebnis</w:t>
      </w:r>
    </w:p>
    <w:p w14:paraId="50CF5DFC" w14:textId="77777777" w:rsidR="001B01D9" w:rsidRPr="0085657E" w:rsidRDefault="001B01D9" w:rsidP="004D0E37">
      <w:pPr>
        <w:pStyle w:val="paragraph"/>
        <w:spacing w:before="0" w:beforeAutospacing="0" w:after="0" w:afterAutospacing="0" w:line="300" w:lineRule="atLeast"/>
        <w:textAlignment w:val="baseline"/>
        <w:rPr>
          <w:rFonts w:ascii="Arial" w:hAnsi="Arial" w:cs="Arial"/>
          <w:sz w:val="21"/>
          <w:szCs w:val="21"/>
        </w:rPr>
      </w:pPr>
    </w:p>
    <w:p w14:paraId="6397712F" w14:textId="627FED01" w:rsidR="002117FF" w:rsidRPr="0085657E" w:rsidRDefault="005A62EF" w:rsidP="001B01D9">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Covestro stellt die Dividendenausschüttung auf eine neue Basis</w:t>
      </w:r>
      <w:r w:rsidR="009C007E" w:rsidRPr="0085657E">
        <w:rPr>
          <w:rFonts w:ascii="Arial" w:hAnsi="Arial" w:cs="Arial"/>
          <w:sz w:val="21"/>
          <w:szCs w:val="21"/>
        </w:rPr>
        <w:t xml:space="preserve">. Dabei orientiert sich </w:t>
      </w:r>
      <w:r w:rsidRPr="0085657E">
        <w:rPr>
          <w:rFonts w:ascii="Arial" w:hAnsi="Arial" w:cs="Arial"/>
          <w:sz w:val="21"/>
          <w:szCs w:val="21"/>
        </w:rPr>
        <w:t xml:space="preserve">die Dividendenpolitik </w:t>
      </w:r>
      <w:r w:rsidR="00FD10C5" w:rsidRPr="0085657E">
        <w:rPr>
          <w:rFonts w:ascii="Arial" w:hAnsi="Arial" w:cs="Arial"/>
          <w:sz w:val="21"/>
          <w:szCs w:val="21"/>
        </w:rPr>
        <w:t xml:space="preserve">stärker an der Entwicklung des </w:t>
      </w:r>
      <w:r w:rsidRPr="0085657E">
        <w:rPr>
          <w:rFonts w:ascii="Arial" w:hAnsi="Arial" w:cs="Arial"/>
          <w:sz w:val="21"/>
          <w:szCs w:val="21"/>
        </w:rPr>
        <w:t>Konzernergebnis</w:t>
      </w:r>
      <w:r w:rsidR="00064161" w:rsidRPr="0085657E">
        <w:rPr>
          <w:rFonts w:ascii="Arial" w:hAnsi="Arial" w:cs="Arial"/>
          <w:sz w:val="21"/>
          <w:szCs w:val="21"/>
        </w:rPr>
        <w:t>ses</w:t>
      </w:r>
      <w:r w:rsidRPr="0085657E">
        <w:rPr>
          <w:rFonts w:ascii="Arial" w:hAnsi="Arial" w:cs="Arial"/>
          <w:sz w:val="21"/>
          <w:szCs w:val="21"/>
        </w:rPr>
        <w:t xml:space="preserve">: Die Ausschüttungsquote liegt nun bei 35 % bis 55 % des erwirtschafteten </w:t>
      </w:r>
      <w:r w:rsidR="00BA64E6" w:rsidRPr="0085657E">
        <w:rPr>
          <w:rFonts w:ascii="Arial" w:hAnsi="Arial" w:cs="Arial"/>
          <w:sz w:val="21"/>
          <w:szCs w:val="21"/>
        </w:rPr>
        <w:t xml:space="preserve">Nettogewinns </w:t>
      </w:r>
      <w:r w:rsidRPr="0085657E">
        <w:rPr>
          <w:rFonts w:ascii="Arial" w:hAnsi="Arial" w:cs="Arial"/>
          <w:sz w:val="21"/>
          <w:szCs w:val="21"/>
        </w:rPr>
        <w:t xml:space="preserve">des Konzerns. „Mit der neuen Dividendenpolitik </w:t>
      </w:r>
      <w:r w:rsidRPr="0085657E">
        <w:rPr>
          <w:rFonts w:ascii="Arial" w:hAnsi="Arial" w:cs="Arial"/>
          <w:sz w:val="21"/>
          <w:szCs w:val="21"/>
        </w:rPr>
        <w:lastRenderedPageBreak/>
        <w:t>schaffen wir einen stärkeren Bezug zur wirtschaftlichen Gesamtlage von Covestro und ermöglichen eine höhere Ausschüttung in Jahren mit einem Spitzenergebnis“, sagte Toepfer.</w:t>
      </w:r>
      <w:r w:rsidR="00123827">
        <w:rPr>
          <w:rFonts w:ascii="Arial" w:hAnsi="Arial" w:cs="Arial"/>
          <w:sz w:val="21"/>
          <w:szCs w:val="21"/>
        </w:rPr>
        <w:t xml:space="preserve"> </w:t>
      </w:r>
      <w:r w:rsidR="002117FF" w:rsidRPr="0085657E">
        <w:rPr>
          <w:rFonts w:ascii="Arial" w:hAnsi="Arial" w:cs="Arial"/>
          <w:sz w:val="21"/>
          <w:szCs w:val="21"/>
        </w:rPr>
        <w:t xml:space="preserve">Basierend auf der aktuellen Geschäftsentwicklung plant Covestro für das </w:t>
      </w:r>
      <w:r w:rsidR="00BD5BC7" w:rsidRPr="0085657E">
        <w:rPr>
          <w:rFonts w:ascii="Arial" w:hAnsi="Arial" w:cs="Arial"/>
          <w:sz w:val="21"/>
          <w:szCs w:val="21"/>
        </w:rPr>
        <w:t>J</w:t>
      </w:r>
      <w:r w:rsidR="002117FF" w:rsidRPr="0085657E">
        <w:rPr>
          <w:rFonts w:ascii="Arial" w:hAnsi="Arial" w:cs="Arial"/>
          <w:sz w:val="21"/>
          <w:szCs w:val="21"/>
        </w:rPr>
        <w:t xml:space="preserve">ahr 2020 eine Dividende in Höhe von 1,30 Euro je Aktie auszuschütten. </w:t>
      </w:r>
      <w:r w:rsidRPr="0085657E">
        <w:rPr>
          <w:rFonts w:ascii="Arial" w:hAnsi="Arial" w:cs="Arial"/>
          <w:sz w:val="21"/>
          <w:szCs w:val="21"/>
        </w:rPr>
        <w:t xml:space="preserve">Dies entspricht einer Ausschüttungsquote von </w:t>
      </w:r>
      <w:r w:rsidR="00882A28" w:rsidRPr="0085657E">
        <w:rPr>
          <w:rFonts w:ascii="Arial" w:hAnsi="Arial" w:cs="Arial"/>
          <w:sz w:val="21"/>
          <w:szCs w:val="21"/>
        </w:rPr>
        <w:t>55</w:t>
      </w:r>
      <w:r w:rsidRPr="0085657E">
        <w:rPr>
          <w:rFonts w:ascii="Arial" w:hAnsi="Arial" w:cs="Arial"/>
          <w:sz w:val="21"/>
          <w:szCs w:val="21"/>
        </w:rPr>
        <w:t xml:space="preserve"> %.</w:t>
      </w:r>
    </w:p>
    <w:p w14:paraId="7B096BAA" w14:textId="77777777" w:rsidR="00571C7E" w:rsidRPr="0085657E" w:rsidRDefault="00571C7E" w:rsidP="004D0E37">
      <w:pPr>
        <w:pStyle w:val="paragraph"/>
        <w:spacing w:before="0" w:beforeAutospacing="0" w:after="0" w:afterAutospacing="0" w:line="300" w:lineRule="atLeast"/>
        <w:textAlignment w:val="baseline"/>
        <w:rPr>
          <w:rFonts w:ascii="Arial" w:hAnsi="Arial" w:cs="Arial"/>
          <w:b/>
          <w:bCs/>
          <w:sz w:val="21"/>
          <w:szCs w:val="21"/>
        </w:rPr>
      </w:pPr>
    </w:p>
    <w:p w14:paraId="20F9518E" w14:textId="45F8BB74" w:rsidR="008C0D35" w:rsidRPr="0085657E" w:rsidRDefault="00F24133" w:rsidP="004D0E37">
      <w:pPr>
        <w:pStyle w:val="paragraph"/>
        <w:spacing w:before="0" w:beforeAutospacing="0" w:after="0" w:afterAutospacing="0" w:line="300" w:lineRule="atLeast"/>
        <w:textAlignment w:val="baseline"/>
        <w:rPr>
          <w:rFonts w:ascii="Arial" w:eastAsia="Arial" w:hAnsi="Arial" w:cs="Arial"/>
          <w:b/>
          <w:spacing w:val="-2"/>
          <w:kern w:val="21"/>
          <w:lang w:eastAsia="de-DE"/>
        </w:rPr>
      </w:pPr>
      <w:r w:rsidRPr="0085657E">
        <w:rPr>
          <w:rFonts w:ascii="Arial" w:hAnsi="Arial" w:cs="Arial"/>
          <w:b/>
          <w:bCs/>
          <w:sz w:val="21"/>
          <w:szCs w:val="21"/>
        </w:rPr>
        <w:t xml:space="preserve">Prognose 2021: </w:t>
      </w:r>
      <w:r w:rsidR="00F82002" w:rsidRPr="0085657E">
        <w:rPr>
          <w:rFonts w:ascii="Arial" w:hAnsi="Arial" w:cs="Arial"/>
          <w:b/>
          <w:bCs/>
          <w:sz w:val="21"/>
          <w:szCs w:val="21"/>
        </w:rPr>
        <w:t>E</w:t>
      </w:r>
      <w:r w:rsidR="000E2D90" w:rsidRPr="0085657E">
        <w:rPr>
          <w:rFonts w:ascii="Arial" w:hAnsi="Arial" w:cs="Arial"/>
          <w:b/>
          <w:bCs/>
          <w:sz w:val="21"/>
          <w:szCs w:val="21"/>
        </w:rPr>
        <w:t>rgebnisse</w:t>
      </w:r>
      <w:r w:rsidR="00F5077B" w:rsidRPr="0085657E">
        <w:rPr>
          <w:rFonts w:ascii="Arial" w:hAnsi="Arial" w:cs="Arial"/>
          <w:b/>
          <w:bCs/>
          <w:sz w:val="21"/>
          <w:szCs w:val="21"/>
        </w:rPr>
        <w:t xml:space="preserve"> ü</w:t>
      </w:r>
      <w:r w:rsidR="008C0D35" w:rsidRPr="0085657E">
        <w:rPr>
          <w:rFonts w:ascii="Arial" w:hAnsi="Arial" w:cs="Arial"/>
          <w:b/>
          <w:bCs/>
          <w:sz w:val="21"/>
          <w:szCs w:val="21"/>
        </w:rPr>
        <w:t>ber Vor-Pandemie-Niveau 2019 erwartet</w:t>
      </w:r>
    </w:p>
    <w:p w14:paraId="0FE1FA00" w14:textId="77777777" w:rsidR="00571C7E" w:rsidRPr="0085657E" w:rsidRDefault="00571C7E" w:rsidP="004D0E37">
      <w:pPr>
        <w:pStyle w:val="paragraph"/>
        <w:spacing w:before="0" w:beforeAutospacing="0" w:after="0" w:afterAutospacing="0" w:line="300" w:lineRule="atLeast"/>
        <w:textAlignment w:val="baseline"/>
        <w:rPr>
          <w:rFonts w:ascii="Arial" w:hAnsi="Arial" w:cs="Arial"/>
          <w:sz w:val="21"/>
          <w:szCs w:val="21"/>
        </w:rPr>
      </w:pPr>
    </w:p>
    <w:p w14:paraId="7C4D74B7" w14:textId="3191C8B8" w:rsidR="00976CF3" w:rsidRPr="0085657E" w:rsidRDefault="0059083B" w:rsidP="00976CF3">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 xml:space="preserve">Für das Geschäftsjahr 2021 </w:t>
      </w:r>
      <w:r w:rsidR="0016345D" w:rsidRPr="0085657E">
        <w:rPr>
          <w:rFonts w:ascii="Arial" w:hAnsi="Arial" w:cs="Arial"/>
          <w:sz w:val="21"/>
          <w:szCs w:val="21"/>
        </w:rPr>
        <w:t xml:space="preserve">rechnet </w:t>
      </w:r>
      <w:r w:rsidR="00F24133" w:rsidRPr="0085657E">
        <w:rPr>
          <w:rFonts w:ascii="Arial" w:hAnsi="Arial" w:cs="Arial"/>
          <w:sz w:val="21"/>
          <w:szCs w:val="21"/>
        </w:rPr>
        <w:t xml:space="preserve">Covestro </w:t>
      </w:r>
      <w:r w:rsidR="0016345D" w:rsidRPr="0085657E">
        <w:rPr>
          <w:rFonts w:ascii="Arial" w:hAnsi="Arial" w:cs="Arial"/>
          <w:sz w:val="21"/>
          <w:szCs w:val="21"/>
        </w:rPr>
        <w:t>mit einem</w:t>
      </w:r>
      <w:r w:rsidR="0038058B" w:rsidRPr="0085657E">
        <w:rPr>
          <w:rFonts w:ascii="Arial" w:hAnsi="Arial" w:cs="Arial"/>
          <w:sz w:val="21"/>
          <w:szCs w:val="21"/>
        </w:rPr>
        <w:t xml:space="preserve"> Mengenwachstum im Kerngeschäft </w:t>
      </w:r>
      <w:r w:rsidR="000431EA" w:rsidRPr="0085657E">
        <w:rPr>
          <w:rFonts w:ascii="Arial" w:hAnsi="Arial" w:cs="Arial"/>
          <w:sz w:val="21"/>
          <w:szCs w:val="21"/>
        </w:rPr>
        <w:t>zwischen 10</w:t>
      </w:r>
      <w:r w:rsidR="00D14E6B" w:rsidRPr="0085657E">
        <w:rPr>
          <w:rFonts w:ascii="Arial" w:hAnsi="Arial" w:cs="Arial"/>
          <w:sz w:val="21"/>
          <w:szCs w:val="21"/>
        </w:rPr>
        <w:t> </w:t>
      </w:r>
      <w:r w:rsidR="00E17FA0" w:rsidRPr="0085657E">
        <w:rPr>
          <w:rFonts w:ascii="Arial" w:hAnsi="Arial" w:cs="Arial"/>
          <w:sz w:val="21"/>
          <w:szCs w:val="21"/>
        </w:rPr>
        <w:t>%</w:t>
      </w:r>
      <w:r w:rsidR="000431EA" w:rsidRPr="0085657E">
        <w:rPr>
          <w:rFonts w:ascii="Arial" w:hAnsi="Arial" w:cs="Arial"/>
          <w:sz w:val="21"/>
          <w:szCs w:val="21"/>
        </w:rPr>
        <w:t xml:space="preserve"> und 15</w:t>
      </w:r>
      <w:r w:rsidR="00D14E6B" w:rsidRPr="0085657E">
        <w:rPr>
          <w:rFonts w:ascii="Arial" w:hAnsi="Arial" w:cs="Arial"/>
          <w:sz w:val="21"/>
          <w:szCs w:val="21"/>
        </w:rPr>
        <w:t> </w:t>
      </w:r>
      <w:r w:rsidR="00E17FA0" w:rsidRPr="0085657E">
        <w:rPr>
          <w:rFonts w:ascii="Arial" w:hAnsi="Arial" w:cs="Arial"/>
          <w:sz w:val="21"/>
          <w:szCs w:val="21"/>
        </w:rPr>
        <w:t>%</w:t>
      </w:r>
      <w:r w:rsidR="00120B55" w:rsidRPr="0085657E">
        <w:rPr>
          <w:rFonts w:ascii="Arial" w:hAnsi="Arial" w:cs="Arial"/>
          <w:sz w:val="21"/>
          <w:szCs w:val="21"/>
        </w:rPr>
        <w:t xml:space="preserve">. Hiervon </w:t>
      </w:r>
      <w:r w:rsidR="00EC15F5" w:rsidRPr="0085657E">
        <w:rPr>
          <w:rFonts w:ascii="Arial" w:hAnsi="Arial" w:cs="Arial"/>
          <w:sz w:val="21"/>
          <w:szCs w:val="21"/>
        </w:rPr>
        <w:t>entfallen</w:t>
      </w:r>
      <w:r w:rsidR="00B372D0" w:rsidRPr="0085657E">
        <w:rPr>
          <w:rFonts w:ascii="Arial" w:hAnsi="Arial" w:cs="Arial"/>
          <w:sz w:val="21"/>
          <w:szCs w:val="21"/>
        </w:rPr>
        <w:t xml:space="preserve"> rund 6</w:t>
      </w:r>
      <w:r w:rsidR="0013190A" w:rsidRPr="0085657E">
        <w:rPr>
          <w:rFonts w:ascii="Arial" w:hAnsi="Arial" w:cs="Arial"/>
          <w:sz w:val="21"/>
          <w:szCs w:val="21"/>
        </w:rPr>
        <w:t> </w:t>
      </w:r>
      <w:r w:rsidR="007B3F17">
        <w:rPr>
          <w:rFonts w:ascii="Arial" w:hAnsi="Arial" w:cs="Arial"/>
          <w:sz w:val="21"/>
          <w:szCs w:val="21"/>
        </w:rPr>
        <w:t>Prozentpunkte</w:t>
      </w:r>
      <w:r w:rsidR="00250739" w:rsidRPr="0085657E">
        <w:rPr>
          <w:rFonts w:ascii="Arial" w:hAnsi="Arial" w:cs="Arial"/>
          <w:sz w:val="21"/>
          <w:szCs w:val="21"/>
        </w:rPr>
        <w:t xml:space="preserve"> </w:t>
      </w:r>
      <w:r w:rsidR="003635DE" w:rsidRPr="0085657E">
        <w:rPr>
          <w:rFonts w:ascii="Arial" w:hAnsi="Arial" w:cs="Arial"/>
          <w:sz w:val="21"/>
          <w:szCs w:val="21"/>
        </w:rPr>
        <w:t xml:space="preserve">akquisitionsbedingt </w:t>
      </w:r>
      <w:r w:rsidR="002E2C6D" w:rsidRPr="0085657E">
        <w:rPr>
          <w:rFonts w:ascii="Arial" w:hAnsi="Arial" w:cs="Arial"/>
          <w:sz w:val="21"/>
          <w:szCs w:val="21"/>
        </w:rPr>
        <w:t>auf den</w:t>
      </w:r>
      <w:r w:rsidR="00066D40" w:rsidRPr="0085657E">
        <w:rPr>
          <w:rFonts w:ascii="Arial" w:hAnsi="Arial" w:cs="Arial"/>
          <w:sz w:val="21"/>
          <w:szCs w:val="21"/>
        </w:rPr>
        <w:t xml:space="preserve"> </w:t>
      </w:r>
      <w:r w:rsidR="005B2C4C" w:rsidRPr="0085657E">
        <w:rPr>
          <w:rFonts w:ascii="Arial" w:hAnsi="Arial" w:cs="Arial"/>
          <w:sz w:val="21"/>
          <w:szCs w:val="21"/>
        </w:rPr>
        <w:t>Geschäft</w:t>
      </w:r>
      <w:r w:rsidR="002E2C6D" w:rsidRPr="0085657E">
        <w:rPr>
          <w:rFonts w:ascii="Arial" w:hAnsi="Arial" w:cs="Arial"/>
          <w:sz w:val="21"/>
          <w:szCs w:val="21"/>
        </w:rPr>
        <w:t>sbereich</w:t>
      </w:r>
      <w:r w:rsidR="00120B55" w:rsidRPr="0085657E">
        <w:rPr>
          <w:rFonts w:ascii="Arial" w:hAnsi="Arial" w:cs="Arial"/>
          <w:sz w:val="21"/>
          <w:szCs w:val="21"/>
        </w:rPr>
        <w:t xml:space="preserve"> </w:t>
      </w:r>
      <w:proofErr w:type="spellStart"/>
      <w:r w:rsidR="00120B55" w:rsidRPr="0085657E">
        <w:rPr>
          <w:rFonts w:ascii="Arial" w:hAnsi="Arial" w:cs="Arial"/>
          <w:sz w:val="21"/>
          <w:szCs w:val="21"/>
        </w:rPr>
        <w:t>Resins</w:t>
      </w:r>
      <w:proofErr w:type="spellEnd"/>
      <w:r w:rsidR="00120B55" w:rsidRPr="0085657E">
        <w:rPr>
          <w:rFonts w:ascii="Arial" w:hAnsi="Arial" w:cs="Arial"/>
          <w:sz w:val="21"/>
          <w:szCs w:val="21"/>
        </w:rPr>
        <w:t xml:space="preserve"> &amp; Functional Materials </w:t>
      </w:r>
      <w:r w:rsidR="0050743E" w:rsidRPr="0085657E">
        <w:rPr>
          <w:rFonts w:ascii="Arial" w:hAnsi="Arial" w:cs="Arial"/>
          <w:sz w:val="21"/>
          <w:szCs w:val="21"/>
        </w:rPr>
        <w:t xml:space="preserve">(RFM) </w:t>
      </w:r>
      <w:r w:rsidR="00120B55" w:rsidRPr="0085657E">
        <w:rPr>
          <w:rFonts w:ascii="Arial" w:hAnsi="Arial" w:cs="Arial"/>
          <w:sz w:val="21"/>
          <w:szCs w:val="21"/>
        </w:rPr>
        <w:t>von DSM</w:t>
      </w:r>
      <w:r w:rsidR="0085657E">
        <w:rPr>
          <w:rFonts w:ascii="Arial" w:hAnsi="Arial" w:cs="Arial"/>
          <w:sz w:val="21"/>
          <w:szCs w:val="21"/>
        </w:rPr>
        <w:t>, dessen Übernahme der Konzern angekündigt hat</w:t>
      </w:r>
      <w:r w:rsidR="00B157CF" w:rsidRPr="0085657E">
        <w:rPr>
          <w:rFonts w:ascii="Arial" w:hAnsi="Arial" w:cs="Arial"/>
          <w:sz w:val="21"/>
          <w:szCs w:val="21"/>
        </w:rPr>
        <w:t xml:space="preserve">. </w:t>
      </w:r>
      <w:r w:rsidR="004A3625" w:rsidRPr="0085657E">
        <w:rPr>
          <w:rFonts w:ascii="Arial" w:hAnsi="Arial" w:cs="Arial"/>
          <w:sz w:val="21"/>
          <w:szCs w:val="21"/>
        </w:rPr>
        <w:t xml:space="preserve">Darüber hinaus </w:t>
      </w:r>
      <w:r w:rsidR="0016345D" w:rsidRPr="0085657E">
        <w:rPr>
          <w:rFonts w:ascii="Arial" w:hAnsi="Arial" w:cs="Arial"/>
          <w:sz w:val="21"/>
          <w:szCs w:val="21"/>
        </w:rPr>
        <w:t xml:space="preserve">erwartet </w:t>
      </w:r>
      <w:r w:rsidR="00C95214" w:rsidRPr="0085657E">
        <w:rPr>
          <w:rFonts w:ascii="Arial" w:hAnsi="Arial" w:cs="Arial"/>
          <w:sz w:val="21"/>
          <w:szCs w:val="21"/>
        </w:rPr>
        <w:t>Covestro</w:t>
      </w:r>
      <w:r w:rsidR="004A3625" w:rsidRPr="0085657E">
        <w:rPr>
          <w:rFonts w:ascii="Arial" w:hAnsi="Arial" w:cs="Arial"/>
          <w:sz w:val="21"/>
          <w:szCs w:val="21"/>
        </w:rPr>
        <w:t xml:space="preserve"> </w:t>
      </w:r>
      <w:r w:rsidR="003635DE" w:rsidRPr="0085657E">
        <w:rPr>
          <w:rFonts w:ascii="Arial" w:hAnsi="Arial" w:cs="Arial"/>
          <w:sz w:val="21"/>
          <w:szCs w:val="21"/>
        </w:rPr>
        <w:t xml:space="preserve">einen </w:t>
      </w:r>
      <w:r w:rsidR="00F24133" w:rsidRPr="0085657E">
        <w:rPr>
          <w:rFonts w:ascii="Arial" w:hAnsi="Arial" w:cs="Arial"/>
          <w:sz w:val="21"/>
          <w:szCs w:val="21"/>
        </w:rPr>
        <w:t xml:space="preserve">FOCF zwischen </w:t>
      </w:r>
      <w:r w:rsidR="0055303E" w:rsidRPr="0085657E">
        <w:rPr>
          <w:rFonts w:ascii="Arial" w:hAnsi="Arial" w:cs="Arial"/>
          <w:sz w:val="21"/>
          <w:szCs w:val="21"/>
        </w:rPr>
        <w:t>900</w:t>
      </w:r>
      <w:r w:rsidR="00726B4C" w:rsidRPr="0085657E">
        <w:rPr>
          <w:rFonts w:ascii="Arial" w:hAnsi="Arial" w:cs="Arial"/>
          <w:sz w:val="21"/>
          <w:szCs w:val="21"/>
        </w:rPr>
        <w:t> </w:t>
      </w:r>
      <w:r w:rsidR="0055303E" w:rsidRPr="0085657E">
        <w:rPr>
          <w:rFonts w:ascii="Arial" w:hAnsi="Arial" w:cs="Arial"/>
          <w:sz w:val="21"/>
          <w:szCs w:val="21"/>
        </w:rPr>
        <w:t>Mio</w:t>
      </w:r>
      <w:r w:rsidR="002E2C6D" w:rsidRPr="0085657E">
        <w:rPr>
          <w:rFonts w:ascii="Arial" w:hAnsi="Arial" w:cs="Arial"/>
          <w:sz w:val="21"/>
          <w:szCs w:val="21"/>
        </w:rPr>
        <w:t>.</w:t>
      </w:r>
      <w:r w:rsidR="00323DF4" w:rsidRPr="0085657E">
        <w:rPr>
          <w:rFonts w:ascii="Arial" w:hAnsi="Arial" w:cs="Arial"/>
          <w:sz w:val="21"/>
          <w:szCs w:val="21"/>
        </w:rPr>
        <w:t xml:space="preserve"> und 1,4</w:t>
      </w:r>
      <w:r w:rsidR="00D14E6B" w:rsidRPr="0085657E">
        <w:rPr>
          <w:rFonts w:ascii="Arial" w:hAnsi="Arial" w:cs="Arial"/>
          <w:sz w:val="21"/>
          <w:szCs w:val="21"/>
        </w:rPr>
        <w:t> </w:t>
      </w:r>
      <w:r w:rsidR="00323DF4" w:rsidRPr="0085657E">
        <w:rPr>
          <w:rFonts w:ascii="Arial" w:hAnsi="Arial" w:cs="Arial"/>
          <w:sz w:val="21"/>
          <w:szCs w:val="21"/>
        </w:rPr>
        <w:t>Mrd.</w:t>
      </w:r>
      <w:r w:rsidR="00F24133" w:rsidRPr="0085657E">
        <w:rPr>
          <w:rFonts w:ascii="Arial" w:hAnsi="Arial" w:cs="Arial"/>
          <w:sz w:val="21"/>
          <w:szCs w:val="21"/>
        </w:rPr>
        <w:t xml:space="preserve"> Euro </w:t>
      </w:r>
      <w:r w:rsidR="00102CE7" w:rsidRPr="0085657E">
        <w:rPr>
          <w:rFonts w:ascii="Arial" w:hAnsi="Arial" w:cs="Arial"/>
          <w:sz w:val="21"/>
          <w:szCs w:val="21"/>
        </w:rPr>
        <w:t>sowie</w:t>
      </w:r>
      <w:r w:rsidR="00F24133" w:rsidRPr="0085657E">
        <w:rPr>
          <w:rFonts w:ascii="Arial" w:hAnsi="Arial" w:cs="Arial"/>
          <w:sz w:val="21"/>
          <w:szCs w:val="21"/>
        </w:rPr>
        <w:t xml:space="preserve"> eine</w:t>
      </w:r>
      <w:r w:rsidR="0016345D" w:rsidRPr="0085657E">
        <w:rPr>
          <w:rFonts w:ascii="Arial" w:hAnsi="Arial" w:cs="Arial"/>
          <w:sz w:val="21"/>
          <w:szCs w:val="21"/>
        </w:rPr>
        <w:t>n</w:t>
      </w:r>
      <w:r w:rsidR="00F24133" w:rsidRPr="0085657E">
        <w:rPr>
          <w:rFonts w:ascii="Arial" w:hAnsi="Arial" w:cs="Arial"/>
          <w:sz w:val="21"/>
          <w:szCs w:val="21"/>
        </w:rPr>
        <w:t xml:space="preserve"> ROCE zwischen </w:t>
      </w:r>
      <w:r w:rsidR="00A26B03" w:rsidRPr="0085657E">
        <w:rPr>
          <w:rFonts w:ascii="Arial" w:hAnsi="Arial" w:cs="Arial"/>
          <w:sz w:val="21"/>
          <w:szCs w:val="21"/>
        </w:rPr>
        <w:t>7</w:t>
      </w:r>
      <w:r w:rsidR="00D14E6B" w:rsidRPr="0085657E">
        <w:rPr>
          <w:rFonts w:ascii="Arial" w:hAnsi="Arial" w:cs="Arial"/>
          <w:sz w:val="21"/>
          <w:szCs w:val="21"/>
        </w:rPr>
        <w:t> </w:t>
      </w:r>
      <w:r w:rsidR="00323DF4" w:rsidRPr="0085657E">
        <w:rPr>
          <w:rFonts w:ascii="Arial" w:hAnsi="Arial" w:cs="Arial"/>
          <w:sz w:val="21"/>
          <w:szCs w:val="21"/>
        </w:rPr>
        <w:t>% und 1</w:t>
      </w:r>
      <w:r w:rsidR="00A26B03" w:rsidRPr="0085657E">
        <w:rPr>
          <w:rFonts w:ascii="Arial" w:hAnsi="Arial" w:cs="Arial"/>
          <w:sz w:val="21"/>
          <w:szCs w:val="21"/>
        </w:rPr>
        <w:t>2</w:t>
      </w:r>
      <w:r w:rsidR="00D14E6B" w:rsidRPr="0085657E">
        <w:rPr>
          <w:rFonts w:ascii="Arial" w:hAnsi="Arial" w:cs="Arial"/>
          <w:sz w:val="21"/>
          <w:szCs w:val="21"/>
        </w:rPr>
        <w:t> </w:t>
      </w:r>
      <w:r w:rsidR="00F24133" w:rsidRPr="0085657E">
        <w:rPr>
          <w:rFonts w:ascii="Arial" w:hAnsi="Arial" w:cs="Arial"/>
          <w:sz w:val="21"/>
          <w:szCs w:val="21"/>
        </w:rPr>
        <w:t xml:space="preserve">%. Für das EBITDA </w:t>
      </w:r>
      <w:r w:rsidR="00784698" w:rsidRPr="0085657E">
        <w:rPr>
          <w:rFonts w:ascii="Arial" w:hAnsi="Arial" w:cs="Arial"/>
          <w:sz w:val="21"/>
          <w:szCs w:val="21"/>
        </w:rPr>
        <w:t>rechnet</w:t>
      </w:r>
      <w:r w:rsidR="00F24133" w:rsidRPr="0085657E">
        <w:rPr>
          <w:rFonts w:ascii="Arial" w:hAnsi="Arial" w:cs="Arial"/>
          <w:sz w:val="21"/>
          <w:szCs w:val="21"/>
        </w:rPr>
        <w:t xml:space="preserve"> </w:t>
      </w:r>
      <w:r w:rsidR="00C95214" w:rsidRPr="0085657E">
        <w:rPr>
          <w:rFonts w:ascii="Arial" w:hAnsi="Arial" w:cs="Arial"/>
          <w:sz w:val="21"/>
          <w:szCs w:val="21"/>
        </w:rPr>
        <w:t xml:space="preserve">der Konzern </w:t>
      </w:r>
      <w:r w:rsidR="00A45D9D" w:rsidRPr="0085657E">
        <w:rPr>
          <w:rFonts w:ascii="Arial" w:hAnsi="Arial" w:cs="Arial"/>
          <w:sz w:val="21"/>
          <w:szCs w:val="21"/>
        </w:rPr>
        <w:t xml:space="preserve">für das Gesamtjahr 2021 </w:t>
      </w:r>
      <w:r w:rsidR="00784698" w:rsidRPr="0085657E">
        <w:rPr>
          <w:rFonts w:ascii="Arial" w:hAnsi="Arial" w:cs="Arial"/>
          <w:sz w:val="21"/>
          <w:szCs w:val="21"/>
        </w:rPr>
        <w:t xml:space="preserve">mit </w:t>
      </w:r>
      <w:r w:rsidR="00F24133" w:rsidRPr="0085657E">
        <w:rPr>
          <w:rFonts w:ascii="Arial" w:hAnsi="Arial" w:cs="Arial"/>
          <w:sz w:val="21"/>
          <w:szCs w:val="21"/>
        </w:rPr>
        <w:t>eine</w:t>
      </w:r>
      <w:r w:rsidR="00784698" w:rsidRPr="0085657E">
        <w:rPr>
          <w:rFonts w:ascii="Arial" w:hAnsi="Arial" w:cs="Arial"/>
          <w:sz w:val="21"/>
          <w:szCs w:val="21"/>
        </w:rPr>
        <w:t>m</w:t>
      </w:r>
      <w:r w:rsidR="00F24133" w:rsidRPr="0085657E">
        <w:rPr>
          <w:rFonts w:ascii="Arial" w:hAnsi="Arial" w:cs="Arial"/>
          <w:sz w:val="21"/>
          <w:szCs w:val="21"/>
        </w:rPr>
        <w:t xml:space="preserve"> Wert zwischen </w:t>
      </w:r>
      <w:r w:rsidR="00552267" w:rsidRPr="0085657E">
        <w:rPr>
          <w:rFonts w:ascii="Arial" w:hAnsi="Arial" w:cs="Arial"/>
          <w:sz w:val="21"/>
          <w:szCs w:val="21"/>
        </w:rPr>
        <w:t>1</w:t>
      </w:r>
      <w:r w:rsidR="00674CF9" w:rsidRPr="0085657E">
        <w:rPr>
          <w:rFonts w:ascii="Arial" w:hAnsi="Arial" w:cs="Arial"/>
          <w:sz w:val="21"/>
          <w:szCs w:val="21"/>
        </w:rPr>
        <w:t>,</w:t>
      </w:r>
      <w:r w:rsidR="00A26B03" w:rsidRPr="0085657E">
        <w:rPr>
          <w:rFonts w:ascii="Arial" w:hAnsi="Arial" w:cs="Arial"/>
          <w:sz w:val="21"/>
          <w:szCs w:val="21"/>
        </w:rPr>
        <w:t>7</w:t>
      </w:r>
      <w:r w:rsidR="00674CF9" w:rsidRPr="0085657E">
        <w:rPr>
          <w:rFonts w:ascii="Arial" w:hAnsi="Arial" w:cs="Arial"/>
          <w:sz w:val="21"/>
          <w:szCs w:val="21"/>
        </w:rPr>
        <w:t xml:space="preserve"> Mrd</w:t>
      </w:r>
      <w:r w:rsidR="00552267" w:rsidRPr="0085657E">
        <w:rPr>
          <w:rFonts w:ascii="Arial" w:hAnsi="Arial" w:cs="Arial"/>
          <w:sz w:val="21"/>
          <w:szCs w:val="21"/>
        </w:rPr>
        <w:t>. und 2</w:t>
      </w:r>
      <w:r w:rsidR="00674CF9" w:rsidRPr="0085657E">
        <w:rPr>
          <w:rFonts w:ascii="Arial" w:hAnsi="Arial" w:cs="Arial"/>
          <w:sz w:val="21"/>
          <w:szCs w:val="21"/>
        </w:rPr>
        <w:t>,</w:t>
      </w:r>
      <w:r w:rsidR="00A26B03" w:rsidRPr="0085657E">
        <w:rPr>
          <w:rFonts w:ascii="Arial" w:hAnsi="Arial" w:cs="Arial"/>
          <w:sz w:val="21"/>
          <w:szCs w:val="21"/>
        </w:rPr>
        <w:t>2</w:t>
      </w:r>
      <w:r w:rsidR="00674CF9" w:rsidRPr="0085657E">
        <w:rPr>
          <w:rFonts w:ascii="Arial" w:hAnsi="Arial" w:cs="Arial"/>
          <w:sz w:val="21"/>
          <w:szCs w:val="21"/>
        </w:rPr>
        <w:t xml:space="preserve"> Mrd</w:t>
      </w:r>
      <w:r w:rsidR="006844CA" w:rsidRPr="0085657E">
        <w:rPr>
          <w:rFonts w:ascii="Arial" w:hAnsi="Arial" w:cs="Arial"/>
          <w:sz w:val="21"/>
          <w:szCs w:val="21"/>
        </w:rPr>
        <w:t>.</w:t>
      </w:r>
      <w:r w:rsidR="00F24133" w:rsidRPr="0085657E">
        <w:rPr>
          <w:rFonts w:ascii="Arial" w:hAnsi="Arial" w:cs="Arial"/>
          <w:sz w:val="21"/>
          <w:szCs w:val="21"/>
        </w:rPr>
        <w:t xml:space="preserve"> Euro</w:t>
      </w:r>
      <w:r w:rsidR="00102CE7" w:rsidRPr="0085657E">
        <w:rPr>
          <w:rFonts w:ascii="Arial" w:hAnsi="Arial" w:cs="Arial"/>
          <w:sz w:val="21"/>
          <w:szCs w:val="21"/>
        </w:rPr>
        <w:t xml:space="preserve">. </w:t>
      </w:r>
      <w:r w:rsidR="00EC087C" w:rsidRPr="0085657E">
        <w:rPr>
          <w:rFonts w:ascii="Arial" w:hAnsi="Arial" w:cs="Arial"/>
          <w:sz w:val="21"/>
          <w:szCs w:val="21"/>
        </w:rPr>
        <w:t>Im ersten Quartal 2021 wird</w:t>
      </w:r>
      <w:r w:rsidR="006F1BC7" w:rsidRPr="0085657E">
        <w:rPr>
          <w:rFonts w:ascii="Arial" w:hAnsi="Arial" w:cs="Arial"/>
          <w:sz w:val="21"/>
          <w:szCs w:val="21"/>
        </w:rPr>
        <w:t xml:space="preserve"> </w:t>
      </w:r>
      <w:r w:rsidR="00C44C38" w:rsidRPr="0085657E">
        <w:rPr>
          <w:rFonts w:ascii="Arial" w:hAnsi="Arial" w:cs="Arial"/>
          <w:sz w:val="21"/>
          <w:szCs w:val="21"/>
        </w:rPr>
        <w:t>ein</w:t>
      </w:r>
      <w:r w:rsidR="006F1BC7" w:rsidRPr="0085657E">
        <w:rPr>
          <w:rFonts w:ascii="Arial" w:hAnsi="Arial" w:cs="Arial"/>
          <w:sz w:val="21"/>
          <w:szCs w:val="21"/>
        </w:rPr>
        <w:t xml:space="preserve"> </w:t>
      </w:r>
      <w:r w:rsidR="00C95214" w:rsidRPr="0085657E">
        <w:rPr>
          <w:rFonts w:ascii="Arial" w:hAnsi="Arial" w:cs="Arial"/>
          <w:sz w:val="21"/>
          <w:szCs w:val="21"/>
        </w:rPr>
        <w:t xml:space="preserve">EBITDA </w:t>
      </w:r>
      <w:r w:rsidR="00F24133" w:rsidRPr="0085657E">
        <w:rPr>
          <w:rFonts w:ascii="Arial" w:hAnsi="Arial" w:cs="Arial"/>
          <w:sz w:val="21"/>
          <w:szCs w:val="21"/>
        </w:rPr>
        <w:t xml:space="preserve">zwischen </w:t>
      </w:r>
      <w:r w:rsidR="006269FE" w:rsidRPr="0085657E">
        <w:rPr>
          <w:rFonts w:ascii="Arial" w:hAnsi="Arial" w:cs="Arial"/>
          <w:sz w:val="21"/>
          <w:szCs w:val="21"/>
        </w:rPr>
        <w:t>7</w:t>
      </w:r>
      <w:r w:rsidR="009B3B22">
        <w:rPr>
          <w:rFonts w:ascii="Arial" w:hAnsi="Arial" w:cs="Arial"/>
          <w:sz w:val="21"/>
          <w:szCs w:val="21"/>
        </w:rPr>
        <w:t>0</w:t>
      </w:r>
      <w:r w:rsidR="0059475F" w:rsidRPr="0085657E">
        <w:rPr>
          <w:rFonts w:ascii="Arial" w:hAnsi="Arial" w:cs="Arial"/>
          <w:sz w:val="21"/>
          <w:szCs w:val="21"/>
        </w:rPr>
        <w:t>0</w:t>
      </w:r>
      <w:r w:rsidR="00F063E6" w:rsidRPr="0085657E">
        <w:rPr>
          <w:rFonts w:ascii="Arial" w:hAnsi="Arial" w:cs="Arial"/>
          <w:sz w:val="21"/>
          <w:szCs w:val="21"/>
        </w:rPr>
        <w:t> </w:t>
      </w:r>
      <w:r w:rsidR="0059475F" w:rsidRPr="0085657E">
        <w:rPr>
          <w:rFonts w:ascii="Arial" w:hAnsi="Arial" w:cs="Arial"/>
          <w:sz w:val="21"/>
          <w:szCs w:val="21"/>
        </w:rPr>
        <w:t xml:space="preserve">Mio. und </w:t>
      </w:r>
      <w:r w:rsidR="009B3B22">
        <w:rPr>
          <w:rFonts w:ascii="Arial" w:hAnsi="Arial" w:cs="Arial"/>
          <w:sz w:val="21"/>
          <w:szCs w:val="21"/>
        </w:rPr>
        <w:t>78</w:t>
      </w:r>
      <w:r w:rsidR="006269FE" w:rsidRPr="0085657E">
        <w:rPr>
          <w:rFonts w:ascii="Arial" w:hAnsi="Arial" w:cs="Arial"/>
          <w:sz w:val="21"/>
          <w:szCs w:val="21"/>
        </w:rPr>
        <w:t>0 </w:t>
      </w:r>
      <w:r w:rsidR="0059475F" w:rsidRPr="0085657E">
        <w:rPr>
          <w:rFonts w:ascii="Arial" w:hAnsi="Arial" w:cs="Arial"/>
          <w:sz w:val="21"/>
          <w:szCs w:val="21"/>
        </w:rPr>
        <w:t xml:space="preserve">Mio. Euro </w:t>
      </w:r>
      <w:r w:rsidR="00C44C38" w:rsidRPr="0085657E">
        <w:rPr>
          <w:rFonts w:ascii="Arial" w:hAnsi="Arial" w:cs="Arial"/>
          <w:sz w:val="21"/>
          <w:szCs w:val="21"/>
        </w:rPr>
        <w:t>erwartet</w:t>
      </w:r>
      <w:r w:rsidR="006F1BC7" w:rsidRPr="0085657E">
        <w:rPr>
          <w:rFonts w:ascii="Arial" w:hAnsi="Arial" w:cs="Arial"/>
          <w:sz w:val="21"/>
          <w:szCs w:val="21"/>
        </w:rPr>
        <w:t>.</w:t>
      </w:r>
    </w:p>
    <w:p w14:paraId="4BC5E68E" w14:textId="77777777" w:rsidR="00976CF3" w:rsidRPr="0085657E" w:rsidRDefault="00976CF3" w:rsidP="00976CF3">
      <w:pPr>
        <w:pStyle w:val="paragraph"/>
        <w:spacing w:before="0" w:beforeAutospacing="0" w:after="0" w:afterAutospacing="0" w:line="300" w:lineRule="atLeast"/>
        <w:textAlignment w:val="baseline"/>
        <w:rPr>
          <w:rFonts w:ascii="Arial" w:hAnsi="Arial" w:cs="Arial"/>
          <w:b/>
          <w:bCs/>
          <w:sz w:val="21"/>
          <w:szCs w:val="21"/>
        </w:rPr>
      </w:pPr>
    </w:p>
    <w:p w14:paraId="66BB2B52" w14:textId="55747395" w:rsidR="008A07E6" w:rsidRPr="0085657E" w:rsidRDefault="008A07E6" w:rsidP="00976CF3">
      <w:pPr>
        <w:pStyle w:val="paragraph"/>
        <w:spacing w:before="0" w:beforeAutospacing="0" w:after="0" w:afterAutospacing="0" w:line="300" w:lineRule="atLeast"/>
        <w:textAlignment w:val="baseline"/>
        <w:rPr>
          <w:rFonts w:ascii="Arial" w:hAnsi="Arial" w:cs="Arial"/>
          <w:b/>
          <w:bCs/>
          <w:sz w:val="21"/>
          <w:szCs w:val="21"/>
        </w:rPr>
      </w:pPr>
      <w:r w:rsidRPr="0085657E">
        <w:rPr>
          <w:rFonts w:ascii="Arial" w:hAnsi="Arial" w:cs="Arial"/>
          <w:b/>
          <w:bCs/>
          <w:sz w:val="21"/>
          <w:szCs w:val="21"/>
        </w:rPr>
        <w:t xml:space="preserve">In allen Segmenten Erholung der </w:t>
      </w:r>
      <w:r w:rsidR="00F20095" w:rsidRPr="0085657E">
        <w:rPr>
          <w:rFonts w:ascii="Arial" w:hAnsi="Arial" w:cs="Arial"/>
          <w:b/>
          <w:bCs/>
          <w:sz w:val="21"/>
          <w:szCs w:val="21"/>
        </w:rPr>
        <w:t>Nachfrage</w:t>
      </w:r>
      <w:r w:rsidRPr="0085657E">
        <w:rPr>
          <w:rFonts w:ascii="Arial" w:hAnsi="Arial" w:cs="Arial"/>
          <w:b/>
          <w:bCs/>
          <w:sz w:val="21"/>
          <w:szCs w:val="21"/>
        </w:rPr>
        <w:t xml:space="preserve"> </w:t>
      </w:r>
      <w:r w:rsidR="00541DE4" w:rsidRPr="0085657E">
        <w:rPr>
          <w:rFonts w:ascii="Arial" w:hAnsi="Arial" w:cs="Arial"/>
          <w:b/>
          <w:bCs/>
          <w:sz w:val="21"/>
          <w:szCs w:val="21"/>
        </w:rPr>
        <w:t>in zweiter Jahreshälfte</w:t>
      </w:r>
      <w:r w:rsidR="006628F5" w:rsidRPr="0085657E">
        <w:rPr>
          <w:rFonts w:ascii="Arial" w:hAnsi="Arial" w:cs="Arial"/>
          <w:b/>
          <w:bCs/>
          <w:sz w:val="21"/>
          <w:szCs w:val="21"/>
        </w:rPr>
        <w:t xml:space="preserve"> 2020</w:t>
      </w:r>
    </w:p>
    <w:p w14:paraId="3DE2F461" w14:textId="77777777" w:rsidR="00976CF3" w:rsidRPr="0085657E" w:rsidRDefault="00976CF3" w:rsidP="00976CF3">
      <w:pPr>
        <w:pStyle w:val="paragraph"/>
        <w:spacing w:before="0" w:beforeAutospacing="0" w:after="0" w:afterAutospacing="0" w:line="300" w:lineRule="atLeast"/>
        <w:textAlignment w:val="baseline"/>
        <w:rPr>
          <w:rFonts w:ascii="Arial" w:eastAsia="Arial" w:hAnsi="Arial" w:cs="Arial"/>
          <w:noProof/>
          <w:spacing w:val="-2"/>
          <w:kern w:val="21"/>
          <w:sz w:val="21"/>
          <w:szCs w:val="21"/>
          <w:lang w:eastAsia="de-DE" w:bidi="ar-SA"/>
        </w:rPr>
      </w:pPr>
    </w:p>
    <w:p w14:paraId="05711E6A" w14:textId="7E9B7FF5" w:rsidR="000948A7" w:rsidRPr="00A7115E" w:rsidRDefault="000948A7" w:rsidP="004D0E37">
      <w:pPr>
        <w:pStyle w:val="paragraph"/>
        <w:spacing w:before="0" w:beforeAutospacing="0" w:after="0" w:afterAutospacing="0" w:line="300" w:lineRule="atLeast"/>
        <w:textAlignment w:val="baseline"/>
        <w:rPr>
          <w:rFonts w:ascii="Arial" w:hAnsi="Arial" w:cs="Arial"/>
          <w:sz w:val="21"/>
          <w:szCs w:val="21"/>
        </w:rPr>
      </w:pPr>
      <w:r w:rsidRPr="0085657E">
        <w:rPr>
          <w:rFonts w:ascii="Arial" w:hAnsi="Arial" w:cs="Arial"/>
          <w:sz w:val="21"/>
          <w:szCs w:val="21"/>
        </w:rPr>
        <w:t xml:space="preserve">Das Segment </w:t>
      </w:r>
      <w:proofErr w:type="spellStart"/>
      <w:r w:rsidRPr="0085657E">
        <w:rPr>
          <w:rFonts w:ascii="Arial" w:hAnsi="Arial" w:cs="Arial"/>
          <w:sz w:val="21"/>
          <w:szCs w:val="21"/>
        </w:rPr>
        <w:t>Polyurethanes</w:t>
      </w:r>
      <w:proofErr w:type="spellEnd"/>
      <w:r w:rsidRPr="0085657E">
        <w:rPr>
          <w:rFonts w:ascii="Arial" w:hAnsi="Arial" w:cs="Arial"/>
          <w:sz w:val="21"/>
          <w:szCs w:val="21"/>
        </w:rPr>
        <w:t xml:space="preserve"> verzeichnete im Geschäftsjahr 2020 einen Rückgang der abgesetzten Mengen im Kerngeschäft um 6,1</w:t>
      </w:r>
      <w:r w:rsidR="00265D6E" w:rsidRPr="0085657E">
        <w:rPr>
          <w:rFonts w:ascii="Arial" w:hAnsi="Arial" w:cs="Arial"/>
          <w:sz w:val="21"/>
          <w:szCs w:val="21"/>
        </w:rPr>
        <w:t> </w:t>
      </w:r>
      <w:r w:rsidRPr="0085657E">
        <w:rPr>
          <w:rFonts w:ascii="Arial" w:hAnsi="Arial" w:cs="Arial"/>
          <w:sz w:val="21"/>
          <w:szCs w:val="21"/>
        </w:rPr>
        <w:t>%. Nach einer pandemiebedingt rückläufigen</w:t>
      </w:r>
      <w:r w:rsidRPr="00A7115E">
        <w:rPr>
          <w:rFonts w:ascii="Arial" w:hAnsi="Arial" w:cs="Arial"/>
          <w:sz w:val="21"/>
          <w:szCs w:val="21"/>
        </w:rPr>
        <w:t xml:space="preserve"> Nachfrage im ersten Halbjahr führte</w:t>
      </w:r>
      <w:r w:rsidR="00AA0C14" w:rsidRPr="00A7115E">
        <w:rPr>
          <w:rFonts w:ascii="Arial" w:hAnsi="Arial" w:cs="Arial"/>
          <w:sz w:val="21"/>
          <w:szCs w:val="21"/>
        </w:rPr>
        <w:t>n</w:t>
      </w:r>
      <w:r w:rsidRPr="00A7115E">
        <w:rPr>
          <w:rFonts w:ascii="Arial" w:hAnsi="Arial" w:cs="Arial"/>
          <w:sz w:val="21"/>
          <w:szCs w:val="21"/>
        </w:rPr>
        <w:t xml:space="preserve"> eine signifikante Verbesserung der Nachfrage sowie eine vorteilhafte Wettbewerbssituation in der zweiten Jahreshälfte zu einem Anstieg der Kernabsatzmengen. Der Umsatz verringerte sich im Gesamtjahr um 13,1</w:t>
      </w:r>
      <w:r w:rsidR="00265D6E" w:rsidRPr="00A7115E">
        <w:rPr>
          <w:rFonts w:ascii="Arial" w:hAnsi="Arial" w:cs="Arial"/>
          <w:sz w:val="21"/>
          <w:szCs w:val="21"/>
        </w:rPr>
        <w:t> </w:t>
      </w:r>
      <w:r w:rsidRPr="00A7115E">
        <w:rPr>
          <w:rFonts w:ascii="Arial" w:hAnsi="Arial" w:cs="Arial"/>
          <w:sz w:val="21"/>
          <w:szCs w:val="21"/>
        </w:rPr>
        <w:t>% auf 5,0</w:t>
      </w:r>
      <w:r w:rsidR="00265D6E" w:rsidRPr="00A7115E">
        <w:rPr>
          <w:rFonts w:ascii="Arial" w:hAnsi="Arial" w:cs="Arial"/>
          <w:sz w:val="21"/>
          <w:szCs w:val="21"/>
        </w:rPr>
        <w:t> </w:t>
      </w:r>
      <w:r w:rsidRPr="00A7115E">
        <w:rPr>
          <w:rFonts w:ascii="Arial" w:hAnsi="Arial" w:cs="Arial"/>
          <w:sz w:val="21"/>
          <w:szCs w:val="21"/>
        </w:rPr>
        <w:t>Mrd. Euro, im Wesentlichen getrieben durch ein im Jahresdurchschnitt niedrigeres Verkaufspreisniveau und den Rückgang der</w:t>
      </w:r>
      <w:r w:rsidRPr="000948A7">
        <w:rPr>
          <w:rFonts w:ascii="Arial" w:hAnsi="Arial" w:cs="Arial"/>
          <w:sz w:val="21"/>
          <w:szCs w:val="21"/>
        </w:rPr>
        <w:t xml:space="preserve"> Gesamtabsatz</w:t>
      </w:r>
      <w:r w:rsidR="006A1E27">
        <w:rPr>
          <w:rFonts w:ascii="Arial" w:hAnsi="Arial" w:cs="Arial"/>
          <w:sz w:val="21"/>
          <w:szCs w:val="21"/>
        </w:rPr>
        <w:t>-</w:t>
      </w:r>
      <w:r w:rsidRPr="000948A7">
        <w:rPr>
          <w:rFonts w:ascii="Arial" w:hAnsi="Arial" w:cs="Arial"/>
          <w:sz w:val="21"/>
          <w:szCs w:val="21"/>
        </w:rPr>
        <w:t>mengen. Das EBITDA</w:t>
      </w:r>
      <w:r w:rsidR="005E1434">
        <w:rPr>
          <w:rFonts w:ascii="Arial" w:hAnsi="Arial" w:cs="Arial"/>
          <w:sz w:val="21"/>
          <w:szCs w:val="21"/>
        </w:rPr>
        <w:t xml:space="preserve"> </w:t>
      </w:r>
      <w:r w:rsidRPr="000948A7">
        <w:rPr>
          <w:rFonts w:ascii="Arial" w:hAnsi="Arial" w:cs="Arial"/>
          <w:sz w:val="21"/>
          <w:szCs w:val="21"/>
        </w:rPr>
        <w:t xml:space="preserve">sank </w:t>
      </w:r>
      <w:r w:rsidRPr="00A7115E">
        <w:rPr>
          <w:rFonts w:ascii="Arial" w:hAnsi="Arial" w:cs="Arial"/>
          <w:sz w:val="21"/>
          <w:szCs w:val="21"/>
        </w:rPr>
        <w:t>um 3,5</w:t>
      </w:r>
      <w:r w:rsidR="00265D6E" w:rsidRPr="00A7115E">
        <w:rPr>
          <w:rFonts w:ascii="Arial" w:hAnsi="Arial" w:cs="Arial"/>
          <w:sz w:val="21"/>
          <w:szCs w:val="21"/>
        </w:rPr>
        <w:t> </w:t>
      </w:r>
      <w:r w:rsidRPr="00A7115E">
        <w:rPr>
          <w:rFonts w:ascii="Arial" w:hAnsi="Arial" w:cs="Arial"/>
          <w:sz w:val="21"/>
          <w:szCs w:val="21"/>
        </w:rPr>
        <w:t>% auf 625</w:t>
      </w:r>
      <w:r w:rsidR="00265D6E" w:rsidRPr="00A7115E">
        <w:rPr>
          <w:rFonts w:ascii="Arial" w:hAnsi="Arial" w:cs="Arial"/>
          <w:sz w:val="21"/>
          <w:szCs w:val="21"/>
        </w:rPr>
        <w:t> </w:t>
      </w:r>
      <w:r w:rsidRPr="00A7115E">
        <w:rPr>
          <w:rFonts w:ascii="Arial" w:hAnsi="Arial" w:cs="Arial"/>
          <w:sz w:val="21"/>
          <w:szCs w:val="21"/>
        </w:rPr>
        <w:t xml:space="preserve">Mio. </w:t>
      </w:r>
      <w:r w:rsidR="005E1434" w:rsidRPr="00A7115E">
        <w:rPr>
          <w:rFonts w:ascii="Arial" w:hAnsi="Arial" w:cs="Arial"/>
          <w:sz w:val="21"/>
          <w:szCs w:val="21"/>
        </w:rPr>
        <w:t>Euro</w:t>
      </w:r>
      <w:r w:rsidRPr="00A7115E">
        <w:rPr>
          <w:rFonts w:ascii="Arial" w:hAnsi="Arial" w:cs="Arial"/>
          <w:sz w:val="21"/>
          <w:szCs w:val="21"/>
        </w:rPr>
        <w:t xml:space="preserve">, </w:t>
      </w:r>
      <w:r w:rsidR="003C5F48" w:rsidRPr="00A7115E">
        <w:rPr>
          <w:rFonts w:ascii="Arial" w:hAnsi="Arial" w:cs="Arial"/>
          <w:sz w:val="21"/>
          <w:szCs w:val="21"/>
        </w:rPr>
        <w:t>ebenfalls bedingt durch den Rückgang der Absatzmengen.</w:t>
      </w:r>
      <w:r w:rsidR="00A94647" w:rsidRPr="00A7115E">
        <w:rPr>
          <w:rFonts w:ascii="Arial" w:hAnsi="Arial" w:cs="Arial"/>
          <w:sz w:val="21"/>
          <w:szCs w:val="21"/>
        </w:rPr>
        <w:t xml:space="preserve"> Ein niedrigeres Kostenniveau infolge von Kostensenkungsmaßnahmen wirkte sich hingegen positiv auf das EBITDA aus</w:t>
      </w:r>
      <w:r w:rsidR="00E459E7" w:rsidRPr="00A7115E">
        <w:rPr>
          <w:rFonts w:ascii="Arial" w:hAnsi="Arial" w:cs="Arial"/>
          <w:sz w:val="21"/>
          <w:szCs w:val="21"/>
        </w:rPr>
        <w:t>.</w:t>
      </w:r>
    </w:p>
    <w:p w14:paraId="1CB35A93" w14:textId="50CCDE86" w:rsidR="008A07E6" w:rsidRPr="00A7115E" w:rsidRDefault="008A07E6" w:rsidP="004D0E37">
      <w:pPr>
        <w:pStyle w:val="paragraph"/>
        <w:spacing w:before="0" w:beforeAutospacing="0" w:after="0" w:afterAutospacing="0" w:line="300" w:lineRule="atLeast"/>
        <w:textAlignment w:val="baseline"/>
        <w:rPr>
          <w:rFonts w:ascii="Arial" w:hAnsi="Arial" w:cs="Arial"/>
          <w:sz w:val="21"/>
          <w:szCs w:val="21"/>
        </w:rPr>
      </w:pPr>
    </w:p>
    <w:p w14:paraId="2CF1F212" w14:textId="4CB4BC79" w:rsidR="009A02C8" w:rsidRPr="009B1711" w:rsidRDefault="009A02C8" w:rsidP="004D0E37">
      <w:pPr>
        <w:pStyle w:val="paragraph"/>
        <w:spacing w:before="0" w:beforeAutospacing="0" w:after="0" w:afterAutospacing="0" w:line="300" w:lineRule="atLeast"/>
        <w:textAlignment w:val="baseline"/>
        <w:rPr>
          <w:rFonts w:ascii="Arial" w:hAnsi="Arial" w:cs="Arial"/>
          <w:sz w:val="21"/>
          <w:szCs w:val="21"/>
        </w:rPr>
      </w:pPr>
      <w:r w:rsidRPr="00A7115E">
        <w:rPr>
          <w:rFonts w:ascii="Arial" w:hAnsi="Arial" w:cs="Arial"/>
          <w:sz w:val="21"/>
          <w:szCs w:val="21"/>
        </w:rPr>
        <w:t>Im Segment Polycarbonates sanken die Absatzmengen im Kerngeschäft im Geschäftsjahr 2020 um 3,0</w:t>
      </w:r>
      <w:r w:rsidR="00265D6E" w:rsidRPr="00A7115E">
        <w:rPr>
          <w:rFonts w:ascii="Arial" w:hAnsi="Arial" w:cs="Arial"/>
          <w:sz w:val="21"/>
          <w:szCs w:val="21"/>
        </w:rPr>
        <w:t> </w:t>
      </w:r>
      <w:r w:rsidRPr="00A7115E">
        <w:rPr>
          <w:rFonts w:ascii="Arial" w:hAnsi="Arial" w:cs="Arial"/>
          <w:sz w:val="21"/>
          <w:szCs w:val="21"/>
        </w:rPr>
        <w:t>%. Im ersten Halbjahr 2020 war pandemiebedingt ein deutlicher Nachfragerückgang zu verzeichnen. Im zweiten Halbjahr führte eine dynamische Erholung der Nachfrage hingegen zu Kernabsatzmengen über dem Vorjahr. Der Umsatz verringerte sich um 14,1</w:t>
      </w:r>
      <w:r w:rsidR="00265D6E" w:rsidRPr="00A7115E">
        <w:rPr>
          <w:rFonts w:ascii="Arial" w:hAnsi="Arial" w:cs="Arial"/>
          <w:sz w:val="21"/>
          <w:szCs w:val="21"/>
        </w:rPr>
        <w:t> </w:t>
      </w:r>
      <w:r w:rsidRPr="00A7115E">
        <w:rPr>
          <w:rFonts w:ascii="Arial" w:hAnsi="Arial" w:cs="Arial"/>
          <w:sz w:val="21"/>
          <w:szCs w:val="21"/>
        </w:rPr>
        <w:t>% auf 3,0</w:t>
      </w:r>
      <w:r w:rsidR="00265D6E" w:rsidRPr="00A7115E">
        <w:rPr>
          <w:rFonts w:ascii="Arial" w:hAnsi="Arial" w:cs="Arial"/>
          <w:sz w:val="21"/>
          <w:szCs w:val="21"/>
        </w:rPr>
        <w:t> </w:t>
      </w:r>
      <w:r w:rsidRPr="00A7115E">
        <w:rPr>
          <w:rFonts w:ascii="Arial" w:hAnsi="Arial" w:cs="Arial"/>
          <w:sz w:val="21"/>
          <w:szCs w:val="21"/>
        </w:rPr>
        <w:t xml:space="preserve">Mrd. Euro, im Wesentlichen bedingt durch ein niedrigeres Verkaufspreisniveau und den Rückgang der Gesamtabsatzmengen. Das EBITDA verbesserte sich </w:t>
      </w:r>
      <w:r w:rsidR="00C910C9" w:rsidRPr="00A7115E">
        <w:rPr>
          <w:rFonts w:ascii="Arial" w:hAnsi="Arial" w:cs="Arial"/>
          <w:sz w:val="21"/>
          <w:szCs w:val="21"/>
        </w:rPr>
        <w:t xml:space="preserve">hingegen </w:t>
      </w:r>
      <w:r w:rsidRPr="00A7115E">
        <w:rPr>
          <w:rFonts w:ascii="Arial" w:hAnsi="Arial" w:cs="Arial"/>
          <w:sz w:val="21"/>
          <w:szCs w:val="21"/>
        </w:rPr>
        <w:t>um 3,2</w:t>
      </w:r>
      <w:r w:rsidR="00265D6E" w:rsidRPr="00A7115E">
        <w:rPr>
          <w:rFonts w:ascii="Arial" w:hAnsi="Arial" w:cs="Arial"/>
          <w:sz w:val="21"/>
          <w:szCs w:val="21"/>
        </w:rPr>
        <w:t> </w:t>
      </w:r>
      <w:r w:rsidRPr="00A7115E">
        <w:rPr>
          <w:rFonts w:ascii="Arial" w:hAnsi="Arial" w:cs="Arial"/>
          <w:sz w:val="21"/>
          <w:szCs w:val="21"/>
        </w:rPr>
        <w:t>% auf 553</w:t>
      </w:r>
      <w:r w:rsidR="00265D6E" w:rsidRPr="00A7115E">
        <w:rPr>
          <w:rFonts w:ascii="Arial" w:hAnsi="Arial" w:cs="Arial"/>
          <w:sz w:val="21"/>
          <w:szCs w:val="21"/>
        </w:rPr>
        <w:t> </w:t>
      </w:r>
      <w:r w:rsidRPr="00A7115E">
        <w:rPr>
          <w:rFonts w:ascii="Arial" w:hAnsi="Arial" w:cs="Arial"/>
          <w:sz w:val="21"/>
          <w:szCs w:val="21"/>
        </w:rPr>
        <w:t>Mio. Eur</w:t>
      </w:r>
      <w:r w:rsidR="00C910C9" w:rsidRPr="00A7115E">
        <w:rPr>
          <w:rFonts w:ascii="Arial" w:hAnsi="Arial" w:cs="Arial"/>
          <w:sz w:val="21"/>
          <w:szCs w:val="21"/>
        </w:rPr>
        <w:t>o, hauptsächlich aufgrund gesunkener</w:t>
      </w:r>
      <w:r w:rsidR="00C910C9" w:rsidRPr="008300C0">
        <w:rPr>
          <w:rFonts w:ascii="Arial" w:hAnsi="Arial" w:cs="Arial"/>
          <w:sz w:val="21"/>
          <w:szCs w:val="21"/>
        </w:rPr>
        <w:t xml:space="preserve"> </w:t>
      </w:r>
      <w:r w:rsidR="00C910C9" w:rsidRPr="008300C0">
        <w:rPr>
          <w:rFonts w:ascii="Arial" w:hAnsi="Arial" w:cs="Arial"/>
          <w:sz w:val="21"/>
          <w:szCs w:val="21"/>
        </w:rPr>
        <w:lastRenderedPageBreak/>
        <w:t>Rohstoffpreise</w:t>
      </w:r>
      <w:r w:rsidR="00C910C9">
        <w:rPr>
          <w:rFonts w:ascii="Arial" w:hAnsi="Arial" w:cs="Arial"/>
          <w:sz w:val="21"/>
          <w:szCs w:val="21"/>
        </w:rPr>
        <w:t xml:space="preserve"> und einem niedrigeren Kosten</w:t>
      </w:r>
      <w:r w:rsidR="00681D8D">
        <w:rPr>
          <w:rFonts w:ascii="Arial" w:hAnsi="Arial" w:cs="Arial"/>
          <w:sz w:val="21"/>
          <w:szCs w:val="21"/>
        </w:rPr>
        <w:t>n</w:t>
      </w:r>
      <w:r w:rsidR="00C910C9">
        <w:rPr>
          <w:rFonts w:ascii="Arial" w:hAnsi="Arial" w:cs="Arial"/>
          <w:sz w:val="21"/>
          <w:szCs w:val="21"/>
        </w:rPr>
        <w:t xml:space="preserve">iveau infolge </w:t>
      </w:r>
      <w:r w:rsidR="00681D8D" w:rsidRPr="008300C0">
        <w:rPr>
          <w:rFonts w:ascii="Arial" w:hAnsi="Arial" w:cs="Arial"/>
          <w:sz w:val="21"/>
          <w:szCs w:val="21"/>
        </w:rPr>
        <w:t>von Kostensenkungsmaßnahmen.</w:t>
      </w:r>
    </w:p>
    <w:p w14:paraId="4561B043" w14:textId="38D8325A" w:rsidR="00E9346B" w:rsidRDefault="00E9346B" w:rsidP="004D0E37">
      <w:pPr>
        <w:pStyle w:val="paragraph"/>
        <w:spacing w:before="0" w:beforeAutospacing="0" w:after="0" w:afterAutospacing="0" w:line="300" w:lineRule="atLeast"/>
        <w:textAlignment w:val="baseline"/>
        <w:rPr>
          <w:rFonts w:ascii="Arial" w:hAnsi="Arial" w:cs="Arial"/>
          <w:sz w:val="21"/>
          <w:szCs w:val="21"/>
        </w:rPr>
      </w:pPr>
    </w:p>
    <w:p w14:paraId="3E556959" w14:textId="126B648D" w:rsidR="00D74E3F" w:rsidRDefault="00B03D7D" w:rsidP="004D0E37">
      <w:pPr>
        <w:pStyle w:val="paragraph"/>
        <w:spacing w:before="0" w:beforeAutospacing="0" w:after="0" w:afterAutospacing="0" w:line="300" w:lineRule="atLeast"/>
        <w:textAlignment w:val="baseline"/>
        <w:rPr>
          <w:rFonts w:ascii="Arial" w:hAnsi="Arial" w:cs="Arial"/>
          <w:sz w:val="21"/>
          <w:szCs w:val="21"/>
        </w:rPr>
      </w:pPr>
      <w:r w:rsidRPr="00E96FBC">
        <w:rPr>
          <w:rFonts w:ascii="Arial" w:hAnsi="Arial" w:cs="Arial"/>
          <w:sz w:val="21"/>
          <w:szCs w:val="21"/>
        </w:rPr>
        <w:t xml:space="preserve">Das Segment Coatings, </w:t>
      </w:r>
      <w:proofErr w:type="spellStart"/>
      <w:r w:rsidRPr="00A7115E">
        <w:rPr>
          <w:rFonts w:ascii="Arial" w:hAnsi="Arial" w:cs="Arial"/>
          <w:sz w:val="21"/>
          <w:szCs w:val="21"/>
        </w:rPr>
        <w:t>Adhesives</w:t>
      </w:r>
      <w:proofErr w:type="spellEnd"/>
      <w:r w:rsidRPr="00A7115E">
        <w:rPr>
          <w:rFonts w:ascii="Arial" w:hAnsi="Arial" w:cs="Arial"/>
          <w:sz w:val="21"/>
          <w:szCs w:val="21"/>
        </w:rPr>
        <w:t xml:space="preserve">, </w:t>
      </w:r>
      <w:proofErr w:type="spellStart"/>
      <w:r w:rsidRPr="00A7115E">
        <w:rPr>
          <w:rFonts w:ascii="Arial" w:hAnsi="Arial" w:cs="Arial"/>
          <w:sz w:val="21"/>
          <w:szCs w:val="21"/>
        </w:rPr>
        <w:t>Specialties</w:t>
      </w:r>
      <w:proofErr w:type="spellEnd"/>
      <w:r w:rsidRPr="00A7115E">
        <w:rPr>
          <w:rFonts w:ascii="Arial" w:hAnsi="Arial" w:cs="Arial"/>
          <w:sz w:val="21"/>
          <w:szCs w:val="21"/>
        </w:rPr>
        <w:t xml:space="preserve"> verzeichnete im Geschäftsjahr 2020 einen Rückgang der abgesetzten Mengen im Kerngeschäft um 8,9</w:t>
      </w:r>
      <w:r w:rsidR="00265D6E" w:rsidRPr="00A7115E">
        <w:rPr>
          <w:rFonts w:ascii="Arial" w:hAnsi="Arial" w:cs="Arial"/>
          <w:sz w:val="21"/>
          <w:szCs w:val="21"/>
        </w:rPr>
        <w:t> </w:t>
      </w:r>
      <w:r w:rsidRPr="00A7115E">
        <w:rPr>
          <w:rFonts w:ascii="Arial" w:hAnsi="Arial" w:cs="Arial"/>
          <w:sz w:val="21"/>
          <w:szCs w:val="21"/>
        </w:rPr>
        <w:t xml:space="preserve">%. Im Wesentlichen sanken die Kernabsatzmengen im ersten Halbjahr 2020 aufgrund eines deutlichen Nachfragerückgangs infolge der Coronavirus-Pandemie. Durch eine Erholung der Nachfrage zum Jahresende lagen die Kernabsatzmengen im vierten Quartal 2020 über dem Vorjahr. </w:t>
      </w:r>
      <w:r w:rsidR="009D4894">
        <w:rPr>
          <w:rFonts w:ascii="Arial" w:hAnsi="Arial" w:cs="Arial"/>
          <w:sz w:val="21"/>
          <w:szCs w:val="21"/>
        </w:rPr>
        <w:t>I</w:t>
      </w:r>
      <w:r w:rsidR="00C93327" w:rsidRPr="00A7115E">
        <w:rPr>
          <w:rFonts w:ascii="Arial" w:hAnsi="Arial" w:cs="Arial"/>
          <w:sz w:val="21"/>
          <w:szCs w:val="21"/>
        </w:rPr>
        <w:t xml:space="preserve">m Gesamtjahr </w:t>
      </w:r>
      <w:r w:rsidRPr="00A7115E">
        <w:rPr>
          <w:rFonts w:ascii="Arial" w:hAnsi="Arial" w:cs="Arial"/>
          <w:sz w:val="21"/>
          <w:szCs w:val="21"/>
        </w:rPr>
        <w:t xml:space="preserve">reduzierte sich </w:t>
      </w:r>
      <w:r w:rsidR="009D4894">
        <w:rPr>
          <w:rFonts w:ascii="Arial" w:hAnsi="Arial" w:cs="Arial"/>
          <w:sz w:val="21"/>
          <w:szCs w:val="21"/>
        </w:rPr>
        <w:t xml:space="preserve">der Umsatz </w:t>
      </w:r>
      <w:r w:rsidRPr="00A7115E">
        <w:rPr>
          <w:rFonts w:ascii="Arial" w:hAnsi="Arial" w:cs="Arial"/>
          <w:sz w:val="21"/>
          <w:szCs w:val="21"/>
        </w:rPr>
        <w:t>um 13,9</w:t>
      </w:r>
      <w:r w:rsidR="00265D6E" w:rsidRPr="00A7115E">
        <w:rPr>
          <w:rFonts w:ascii="Arial" w:hAnsi="Arial" w:cs="Arial"/>
          <w:sz w:val="21"/>
          <w:szCs w:val="21"/>
        </w:rPr>
        <w:t> </w:t>
      </w:r>
      <w:r w:rsidRPr="00A7115E">
        <w:rPr>
          <w:rFonts w:ascii="Arial" w:hAnsi="Arial" w:cs="Arial"/>
          <w:sz w:val="21"/>
          <w:szCs w:val="21"/>
        </w:rPr>
        <w:t>% auf 2,0</w:t>
      </w:r>
      <w:r w:rsidR="00265D6E" w:rsidRPr="00A7115E">
        <w:rPr>
          <w:rFonts w:ascii="Arial" w:hAnsi="Arial" w:cs="Arial"/>
          <w:sz w:val="21"/>
          <w:szCs w:val="21"/>
        </w:rPr>
        <w:t> </w:t>
      </w:r>
      <w:r w:rsidRPr="00A7115E">
        <w:rPr>
          <w:rFonts w:ascii="Arial" w:hAnsi="Arial" w:cs="Arial"/>
          <w:sz w:val="21"/>
          <w:szCs w:val="21"/>
        </w:rPr>
        <w:t xml:space="preserve">Mrd. </w:t>
      </w:r>
      <w:r w:rsidR="0026051A" w:rsidRPr="00A7115E">
        <w:rPr>
          <w:rFonts w:ascii="Arial" w:hAnsi="Arial" w:cs="Arial"/>
          <w:sz w:val="21"/>
          <w:szCs w:val="21"/>
        </w:rPr>
        <w:t>Euro</w:t>
      </w:r>
      <w:r w:rsidRPr="00A7115E">
        <w:rPr>
          <w:rFonts w:ascii="Arial" w:hAnsi="Arial" w:cs="Arial"/>
          <w:sz w:val="21"/>
          <w:szCs w:val="21"/>
        </w:rPr>
        <w:t xml:space="preserve">, </w:t>
      </w:r>
      <w:r w:rsidR="004A4CA6" w:rsidRPr="00A7115E">
        <w:rPr>
          <w:rFonts w:ascii="Arial" w:hAnsi="Arial" w:cs="Arial"/>
          <w:sz w:val="21"/>
          <w:szCs w:val="21"/>
        </w:rPr>
        <w:t>vor allem</w:t>
      </w:r>
      <w:r w:rsidRPr="00A7115E">
        <w:rPr>
          <w:rFonts w:ascii="Arial" w:hAnsi="Arial" w:cs="Arial"/>
          <w:sz w:val="21"/>
          <w:szCs w:val="21"/>
        </w:rPr>
        <w:t xml:space="preserve"> bedingt durch den Rückgang der Gesamtabsatzmengen und gesunkene durchschnittliche Verkaufspreise. Das EBITDA ging um 27,3</w:t>
      </w:r>
      <w:r w:rsidR="00265D6E" w:rsidRPr="00A7115E">
        <w:rPr>
          <w:rFonts w:ascii="Arial" w:hAnsi="Arial" w:cs="Arial"/>
          <w:sz w:val="21"/>
          <w:szCs w:val="21"/>
        </w:rPr>
        <w:t> </w:t>
      </w:r>
      <w:r w:rsidRPr="00A7115E">
        <w:rPr>
          <w:rFonts w:ascii="Arial" w:hAnsi="Arial" w:cs="Arial"/>
          <w:sz w:val="21"/>
          <w:szCs w:val="21"/>
        </w:rPr>
        <w:t>% auf 341</w:t>
      </w:r>
      <w:r w:rsidR="00265D6E" w:rsidRPr="00A7115E">
        <w:rPr>
          <w:rFonts w:ascii="Arial" w:hAnsi="Arial" w:cs="Arial"/>
          <w:sz w:val="21"/>
          <w:szCs w:val="21"/>
        </w:rPr>
        <w:t> </w:t>
      </w:r>
      <w:r w:rsidRPr="00A7115E">
        <w:rPr>
          <w:rFonts w:ascii="Arial" w:hAnsi="Arial" w:cs="Arial"/>
          <w:sz w:val="21"/>
          <w:szCs w:val="21"/>
        </w:rPr>
        <w:t xml:space="preserve">Mio. </w:t>
      </w:r>
      <w:r w:rsidR="00CE5CA5" w:rsidRPr="00A7115E">
        <w:rPr>
          <w:rFonts w:ascii="Arial" w:hAnsi="Arial" w:cs="Arial"/>
          <w:sz w:val="21"/>
          <w:szCs w:val="21"/>
        </w:rPr>
        <w:t>Euro</w:t>
      </w:r>
      <w:r w:rsidRPr="00A7115E">
        <w:rPr>
          <w:rFonts w:ascii="Arial" w:hAnsi="Arial" w:cs="Arial"/>
          <w:sz w:val="21"/>
          <w:szCs w:val="21"/>
        </w:rPr>
        <w:t xml:space="preserve"> zurück. </w:t>
      </w:r>
      <w:r w:rsidR="0026051A" w:rsidRPr="00A7115E">
        <w:rPr>
          <w:rFonts w:ascii="Arial" w:hAnsi="Arial" w:cs="Arial"/>
          <w:sz w:val="21"/>
          <w:szCs w:val="21"/>
        </w:rPr>
        <w:t>Hier wirkten sich rückläufige Absatzmengen</w:t>
      </w:r>
      <w:r w:rsidR="004B72EF" w:rsidRPr="00A7115E">
        <w:rPr>
          <w:rFonts w:ascii="Arial" w:hAnsi="Arial" w:cs="Arial"/>
          <w:sz w:val="21"/>
          <w:szCs w:val="21"/>
        </w:rPr>
        <w:t>,</w:t>
      </w:r>
      <w:r w:rsidR="00C93327" w:rsidRPr="00A7115E">
        <w:rPr>
          <w:rFonts w:ascii="Arial" w:hAnsi="Arial" w:cs="Arial"/>
          <w:sz w:val="21"/>
          <w:szCs w:val="21"/>
        </w:rPr>
        <w:t xml:space="preserve"> niedrigere Margen </w:t>
      </w:r>
      <w:r w:rsidR="004B72EF" w:rsidRPr="00A7115E">
        <w:rPr>
          <w:rFonts w:ascii="Arial" w:hAnsi="Arial" w:cs="Arial"/>
          <w:sz w:val="20"/>
          <w:szCs w:val="20"/>
        </w:rPr>
        <w:t>sow</w:t>
      </w:r>
      <w:r w:rsidR="00685E55" w:rsidRPr="00A7115E">
        <w:rPr>
          <w:rFonts w:ascii="Arial" w:hAnsi="Arial" w:cs="Arial"/>
          <w:sz w:val="20"/>
          <w:szCs w:val="20"/>
        </w:rPr>
        <w:t xml:space="preserve">ie </w:t>
      </w:r>
      <w:r w:rsidR="0026051A" w:rsidRPr="00A7115E">
        <w:rPr>
          <w:rFonts w:ascii="Arial" w:hAnsi="Arial" w:cs="Arial"/>
          <w:sz w:val="21"/>
          <w:szCs w:val="21"/>
        </w:rPr>
        <w:t>Aufwendungen</w:t>
      </w:r>
      <w:r w:rsidR="0026051A" w:rsidRPr="00BC7369">
        <w:rPr>
          <w:rFonts w:ascii="Arial" w:hAnsi="Arial" w:cs="Arial"/>
          <w:sz w:val="21"/>
          <w:szCs w:val="21"/>
        </w:rPr>
        <w:t xml:space="preserve"> </w:t>
      </w:r>
      <w:r w:rsidR="00D74E3F">
        <w:rPr>
          <w:rFonts w:ascii="Arial" w:hAnsi="Arial" w:cs="Arial"/>
          <w:sz w:val="21"/>
          <w:szCs w:val="21"/>
        </w:rPr>
        <w:t>im Zusammenhang mit der</w:t>
      </w:r>
      <w:r w:rsidR="0026051A" w:rsidRPr="00BC7369">
        <w:rPr>
          <w:rFonts w:ascii="Arial" w:hAnsi="Arial" w:cs="Arial"/>
          <w:sz w:val="21"/>
          <w:szCs w:val="21"/>
        </w:rPr>
        <w:t xml:space="preserve"> geplante</w:t>
      </w:r>
      <w:r w:rsidR="00D74E3F">
        <w:rPr>
          <w:rFonts w:ascii="Arial" w:hAnsi="Arial" w:cs="Arial"/>
          <w:sz w:val="21"/>
          <w:szCs w:val="21"/>
        </w:rPr>
        <w:t>n</w:t>
      </w:r>
      <w:r w:rsidR="0026051A" w:rsidRPr="00BC7369">
        <w:rPr>
          <w:rFonts w:ascii="Arial" w:hAnsi="Arial" w:cs="Arial"/>
          <w:sz w:val="21"/>
          <w:szCs w:val="21"/>
        </w:rPr>
        <w:t xml:space="preserve"> Übernahme des Geschäftsbereichs </w:t>
      </w:r>
      <w:r w:rsidR="001412AB">
        <w:rPr>
          <w:rFonts w:ascii="Arial" w:hAnsi="Arial" w:cs="Arial"/>
          <w:sz w:val="21"/>
          <w:szCs w:val="21"/>
        </w:rPr>
        <w:t>RFM</w:t>
      </w:r>
      <w:r w:rsidR="0026051A" w:rsidRPr="00BC7369">
        <w:rPr>
          <w:rFonts w:ascii="Arial" w:hAnsi="Arial" w:cs="Arial"/>
          <w:sz w:val="21"/>
          <w:szCs w:val="21"/>
        </w:rPr>
        <w:t xml:space="preserve"> </w:t>
      </w:r>
      <w:r w:rsidR="0026051A" w:rsidRPr="005003BE">
        <w:rPr>
          <w:rFonts w:ascii="Arial" w:hAnsi="Arial" w:cs="Arial"/>
          <w:sz w:val="21"/>
          <w:szCs w:val="21"/>
        </w:rPr>
        <w:t>ergebnismindernd aus</w:t>
      </w:r>
      <w:r w:rsidR="0026051A">
        <w:rPr>
          <w:rFonts w:ascii="Arial" w:hAnsi="Arial" w:cs="Arial"/>
          <w:sz w:val="21"/>
          <w:szCs w:val="21"/>
        </w:rPr>
        <w:t>.</w:t>
      </w:r>
      <w:r w:rsidR="002B749A">
        <w:rPr>
          <w:rFonts w:ascii="Arial" w:hAnsi="Arial" w:cs="Arial"/>
          <w:sz w:val="21"/>
          <w:szCs w:val="21"/>
        </w:rPr>
        <w:t xml:space="preserve"> </w:t>
      </w:r>
      <w:r w:rsidR="00084B63">
        <w:rPr>
          <w:rFonts w:ascii="Arial" w:hAnsi="Arial" w:cs="Arial"/>
          <w:sz w:val="21"/>
          <w:szCs w:val="21"/>
        </w:rPr>
        <w:t>E</w:t>
      </w:r>
      <w:r w:rsidR="00084B63" w:rsidRPr="00084B63">
        <w:rPr>
          <w:rFonts w:ascii="Arial" w:hAnsi="Arial" w:cs="Arial"/>
          <w:sz w:val="21"/>
          <w:szCs w:val="21"/>
        </w:rPr>
        <w:t xml:space="preserve">in niedrigeres Kostenniveau infolge von Kostensenkungsmaßnahmen </w:t>
      </w:r>
      <w:r w:rsidR="00DA2A88">
        <w:rPr>
          <w:rFonts w:ascii="Arial" w:hAnsi="Arial" w:cs="Arial"/>
          <w:sz w:val="21"/>
          <w:szCs w:val="21"/>
        </w:rPr>
        <w:t>beeinflusste das Erg</w:t>
      </w:r>
      <w:r w:rsidR="00B255AC">
        <w:rPr>
          <w:rFonts w:ascii="Arial" w:hAnsi="Arial" w:cs="Arial"/>
          <w:sz w:val="21"/>
          <w:szCs w:val="21"/>
        </w:rPr>
        <w:t xml:space="preserve">ebnis hingegen positiv. </w:t>
      </w:r>
      <w:r w:rsidR="00D919EF">
        <w:rPr>
          <w:rFonts w:ascii="Arial" w:hAnsi="Arial" w:cs="Arial"/>
          <w:sz w:val="21"/>
          <w:szCs w:val="21"/>
        </w:rPr>
        <w:t>D</w:t>
      </w:r>
      <w:r w:rsidR="00D919EF" w:rsidRPr="00D919EF">
        <w:rPr>
          <w:rFonts w:ascii="Arial" w:hAnsi="Arial" w:cs="Arial"/>
          <w:sz w:val="21"/>
          <w:szCs w:val="21"/>
        </w:rPr>
        <w:t xml:space="preserve">as EBITDA des Vorjahreszeitraums war </w:t>
      </w:r>
      <w:r w:rsidR="00D919EF">
        <w:rPr>
          <w:rFonts w:ascii="Arial" w:hAnsi="Arial" w:cs="Arial"/>
          <w:sz w:val="21"/>
          <w:szCs w:val="21"/>
        </w:rPr>
        <w:t xml:space="preserve">zudem </w:t>
      </w:r>
      <w:r w:rsidR="00D919EF" w:rsidRPr="00D919EF">
        <w:rPr>
          <w:rFonts w:ascii="Arial" w:hAnsi="Arial" w:cs="Arial"/>
          <w:sz w:val="21"/>
          <w:szCs w:val="21"/>
        </w:rPr>
        <w:t xml:space="preserve">durch einen </w:t>
      </w:r>
      <w:r w:rsidR="00B64D19">
        <w:rPr>
          <w:rFonts w:ascii="Arial" w:hAnsi="Arial" w:cs="Arial"/>
          <w:sz w:val="21"/>
          <w:szCs w:val="21"/>
        </w:rPr>
        <w:t>Einmal</w:t>
      </w:r>
      <w:r w:rsidR="00D919EF" w:rsidRPr="00D919EF">
        <w:rPr>
          <w:rFonts w:ascii="Arial" w:hAnsi="Arial" w:cs="Arial"/>
          <w:sz w:val="21"/>
          <w:szCs w:val="21"/>
        </w:rPr>
        <w:t xml:space="preserve">effekt aus dem sukzessiven Anteilserwerb der japanischen DIC Covestro Polymer Ltd. </w:t>
      </w:r>
      <w:r w:rsidR="00F940FD">
        <w:rPr>
          <w:rFonts w:ascii="Arial" w:hAnsi="Arial" w:cs="Arial"/>
          <w:sz w:val="21"/>
          <w:szCs w:val="21"/>
        </w:rPr>
        <w:t xml:space="preserve">positiv </w:t>
      </w:r>
      <w:r w:rsidR="00D919EF" w:rsidRPr="00D919EF">
        <w:rPr>
          <w:rFonts w:ascii="Arial" w:hAnsi="Arial" w:cs="Arial"/>
          <w:sz w:val="21"/>
          <w:szCs w:val="21"/>
        </w:rPr>
        <w:t>beeinflusst.</w:t>
      </w:r>
    </w:p>
    <w:p w14:paraId="777FA1E5" w14:textId="77777777" w:rsidR="002812BD" w:rsidRDefault="002812BD" w:rsidP="004D0E37">
      <w:pPr>
        <w:pStyle w:val="paragraph"/>
        <w:spacing w:before="0" w:beforeAutospacing="0" w:after="0" w:afterAutospacing="0" w:line="300" w:lineRule="atLeast"/>
        <w:textAlignment w:val="baseline"/>
        <w:rPr>
          <w:rFonts w:ascii="Arial" w:hAnsi="Arial" w:cs="Arial"/>
          <w:sz w:val="21"/>
          <w:szCs w:val="21"/>
        </w:rPr>
      </w:pPr>
    </w:p>
    <w:p w14:paraId="018C1948" w14:textId="12BB9D03" w:rsidR="00265D6E" w:rsidRDefault="008A07E6" w:rsidP="004D0E37">
      <w:pPr>
        <w:pStyle w:val="paragraph"/>
        <w:spacing w:before="0" w:beforeAutospacing="0" w:after="0" w:afterAutospacing="0" w:line="300" w:lineRule="atLeast"/>
        <w:textAlignment w:val="baseline"/>
        <w:rPr>
          <w:rFonts w:ascii="Arial" w:hAnsi="Arial" w:cs="Arial"/>
          <w:b/>
          <w:bCs/>
          <w:sz w:val="21"/>
          <w:szCs w:val="21"/>
        </w:rPr>
      </w:pPr>
      <w:r w:rsidRPr="0042143F">
        <w:rPr>
          <w:rFonts w:ascii="Arial" w:hAnsi="Arial" w:cs="Arial"/>
          <w:b/>
          <w:bCs/>
          <w:sz w:val="21"/>
          <w:szCs w:val="21"/>
        </w:rPr>
        <w:t>Viertes Quartal 2020</w:t>
      </w:r>
      <w:r w:rsidR="00437EDE">
        <w:rPr>
          <w:rFonts w:ascii="Arial" w:hAnsi="Arial" w:cs="Arial"/>
          <w:b/>
          <w:bCs/>
          <w:sz w:val="21"/>
          <w:szCs w:val="21"/>
        </w:rPr>
        <w:t xml:space="preserve"> d</w:t>
      </w:r>
      <w:r w:rsidR="00943282">
        <w:rPr>
          <w:rFonts w:ascii="Arial" w:hAnsi="Arial" w:cs="Arial"/>
          <w:b/>
          <w:bCs/>
          <w:sz w:val="21"/>
          <w:szCs w:val="21"/>
        </w:rPr>
        <w:t xml:space="preserve">eutlich über Vorjahresniveau </w:t>
      </w:r>
    </w:p>
    <w:p w14:paraId="42833722" w14:textId="77777777" w:rsidR="00265D6E" w:rsidRDefault="00265D6E" w:rsidP="004D0E37">
      <w:pPr>
        <w:pStyle w:val="paragraph"/>
        <w:spacing w:before="0" w:beforeAutospacing="0" w:after="0" w:afterAutospacing="0" w:line="300" w:lineRule="atLeast"/>
        <w:textAlignment w:val="baseline"/>
        <w:rPr>
          <w:rFonts w:ascii="Arial" w:hAnsi="Arial" w:cs="Arial"/>
          <w:b/>
          <w:bCs/>
          <w:sz w:val="21"/>
          <w:szCs w:val="21"/>
        </w:rPr>
      </w:pPr>
    </w:p>
    <w:p w14:paraId="1F84EEFA" w14:textId="4BCB03A3" w:rsidR="008A07E6" w:rsidRPr="00265D6E" w:rsidRDefault="008A07E6" w:rsidP="004D0E37">
      <w:pPr>
        <w:pStyle w:val="paragraph"/>
        <w:spacing w:before="0" w:beforeAutospacing="0" w:after="0" w:afterAutospacing="0" w:line="300" w:lineRule="atLeast"/>
        <w:textAlignment w:val="baseline"/>
        <w:rPr>
          <w:rFonts w:ascii="Arial" w:hAnsi="Arial" w:cs="Arial"/>
          <w:b/>
          <w:bCs/>
          <w:sz w:val="21"/>
          <w:szCs w:val="21"/>
        </w:rPr>
      </w:pPr>
      <w:r w:rsidRPr="00036A09">
        <w:rPr>
          <w:rFonts w:ascii="Arial" w:hAnsi="Arial" w:cs="Arial"/>
          <w:sz w:val="21"/>
          <w:szCs w:val="21"/>
        </w:rPr>
        <w:t>Im vierten Quartal 2020 s</w:t>
      </w:r>
      <w:r w:rsidR="008D3644" w:rsidRPr="00036A09">
        <w:rPr>
          <w:rFonts w:ascii="Arial" w:hAnsi="Arial" w:cs="Arial"/>
          <w:sz w:val="21"/>
          <w:szCs w:val="21"/>
        </w:rPr>
        <w:t>tiegen</w:t>
      </w:r>
      <w:r w:rsidRPr="00036A09">
        <w:rPr>
          <w:rFonts w:ascii="Arial" w:hAnsi="Arial" w:cs="Arial"/>
          <w:sz w:val="21"/>
          <w:szCs w:val="21"/>
        </w:rPr>
        <w:t xml:space="preserve"> die abgesetzten </w:t>
      </w:r>
      <w:r w:rsidRPr="00A7115E">
        <w:rPr>
          <w:rFonts w:ascii="Arial" w:hAnsi="Arial" w:cs="Arial"/>
          <w:sz w:val="21"/>
          <w:szCs w:val="21"/>
        </w:rPr>
        <w:t xml:space="preserve">Mengen im Kerngeschäft um </w:t>
      </w:r>
      <w:r w:rsidR="0078202B" w:rsidRPr="00A7115E">
        <w:rPr>
          <w:rFonts w:ascii="Arial" w:hAnsi="Arial" w:cs="Arial"/>
          <w:sz w:val="21"/>
          <w:szCs w:val="21"/>
        </w:rPr>
        <w:t>1,7</w:t>
      </w:r>
      <w:r w:rsidR="00265D6E" w:rsidRPr="00A7115E">
        <w:rPr>
          <w:rFonts w:ascii="Arial" w:hAnsi="Arial" w:cs="Arial"/>
          <w:sz w:val="21"/>
          <w:szCs w:val="21"/>
        </w:rPr>
        <w:t> </w:t>
      </w:r>
      <w:r w:rsidRPr="00A7115E">
        <w:rPr>
          <w:rFonts w:ascii="Arial" w:hAnsi="Arial" w:cs="Arial"/>
          <w:sz w:val="21"/>
          <w:szCs w:val="21"/>
        </w:rPr>
        <w:t>%</w:t>
      </w:r>
      <w:r w:rsidR="008D3644" w:rsidRPr="00A7115E">
        <w:rPr>
          <w:rFonts w:ascii="Arial" w:hAnsi="Arial" w:cs="Arial"/>
          <w:sz w:val="21"/>
          <w:szCs w:val="21"/>
        </w:rPr>
        <w:t xml:space="preserve"> gegenüber dem Vorjahreswert</w:t>
      </w:r>
      <w:r w:rsidRPr="00A7115E">
        <w:rPr>
          <w:rFonts w:ascii="Arial" w:hAnsi="Arial" w:cs="Arial"/>
          <w:sz w:val="21"/>
          <w:szCs w:val="21"/>
        </w:rPr>
        <w:t xml:space="preserve">. Der Konzernumsatz </w:t>
      </w:r>
      <w:r w:rsidR="008D3644" w:rsidRPr="00A7115E">
        <w:rPr>
          <w:rFonts w:ascii="Arial" w:hAnsi="Arial" w:cs="Arial"/>
          <w:sz w:val="21"/>
          <w:szCs w:val="21"/>
        </w:rPr>
        <w:t>erhöhte</w:t>
      </w:r>
      <w:r w:rsidR="00B10735" w:rsidRPr="00A7115E">
        <w:rPr>
          <w:rFonts w:ascii="Arial" w:hAnsi="Arial" w:cs="Arial"/>
          <w:sz w:val="21"/>
          <w:szCs w:val="21"/>
        </w:rPr>
        <w:t xml:space="preserve"> sich </w:t>
      </w:r>
      <w:r w:rsidR="00D74E3F" w:rsidRPr="00A7115E">
        <w:rPr>
          <w:rFonts w:ascii="Arial" w:hAnsi="Arial" w:cs="Arial"/>
          <w:sz w:val="21"/>
          <w:szCs w:val="21"/>
        </w:rPr>
        <w:t xml:space="preserve">dadurch </w:t>
      </w:r>
      <w:r w:rsidRPr="00A7115E">
        <w:rPr>
          <w:rFonts w:ascii="Arial" w:hAnsi="Arial" w:cs="Arial"/>
          <w:sz w:val="21"/>
          <w:szCs w:val="21"/>
        </w:rPr>
        <w:t>und</w:t>
      </w:r>
      <w:r w:rsidR="007E2D29" w:rsidRPr="00A7115E">
        <w:rPr>
          <w:rFonts w:ascii="Arial" w:hAnsi="Arial" w:cs="Arial"/>
          <w:sz w:val="21"/>
          <w:szCs w:val="21"/>
        </w:rPr>
        <w:t xml:space="preserve"> aufgrund</w:t>
      </w:r>
      <w:r w:rsidRPr="00A7115E">
        <w:rPr>
          <w:rFonts w:ascii="Arial" w:hAnsi="Arial" w:cs="Arial"/>
          <w:sz w:val="21"/>
          <w:szCs w:val="21"/>
        </w:rPr>
        <w:t xml:space="preserve"> ein</w:t>
      </w:r>
      <w:r w:rsidR="004B46C8" w:rsidRPr="00A7115E">
        <w:rPr>
          <w:rFonts w:ascii="Arial" w:hAnsi="Arial" w:cs="Arial"/>
          <w:sz w:val="21"/>
          <w:szCs w:val="21"/>
        </w:rPr>
        <w:t>e</w:t>
      </w:r>
      <w:r w:rsidR="00906CC1" w:rsidRPr="00A7115E">
        <w:rPr>
          <w:rFonts w:ascii="Arial" w:hAnsi="Arial" w:cs="Arial"/>
          <w:sz w:val="21"/>
          <w:szCs w:val="21"/>
        </w:rPr>
        <w:t>s</w:t>
      </w:r>
      <w:r w:rsidR="004B46C8" w:rsidRPr="00A7115E">
        <w:rPr>
          <w:rFonts w:ascii="Arial" w:hAnsi="Arial" w:cs="Arial"/>
          <w:sz w:val="21"/>
          <w:szCs w:val="21"/>
        </w:rPr>
        <w:t xml:space="preserve"> höheren</w:t>
      </w:r>
      <w:r w:rsidRPr="00A7115E">
        <w:rPr>
          <w:rFonts w:ascii="Arial" w:hAnsi="Arial" w:cs="Arial"/>
          <w:sz w:val="21"/>
          <w:szCs w:val="21"/>
        </w:rPr>
        <w:t xml:space="preserve"> Verkaufspreisniveau</w:t>
      </w:r>
      <w:r w:rsidR="00AC75E0" w:rsidRPr="00A7115E">
        <w:rPr>
          <w:rFonts w:ascii="Arial" w:hAnsi="Arial" w:cs="Arial"/>
          <w:sz w:val="21"/>
          <w:szCs w:val="21"/>
        </w:rPr>
        <w:t>s</w:t>
      </w:r>
      <w:r w:rsidR="00B10735" w:rsidRPr="00A7115E">
        <w:rPr>
          <w:rFonts w:ascii="Arial" w:hAnsi="Arial" w:cs="Arial"/>
          <w:sz w:val="21"/>
          <w:szCs w:val="21"/>
        </w:rPr>
        <w:t xml:space="preserve"> um 5,0</w:t>
      </w:r>
      <w:r w:rsidR="00265D6E" w:rsidRPr="00A7115E">
        <w:rPr>
          <w:rFonts w:ascii="Arial" w:hAnsi="Arial" w:cs="Arial"/>
          <w:sz w:val="21"/>
          <w:szCs w:val="21"/>
        </w:rPr>
        <w:t> </w:t>
      </w:r>
      <w:r w:rsidR="00B10735" w:rsidRPr="00A7115E">
        <w:rPr>
          <w:rFonts w:ascii="Arial" w:hAnsi="Arial" w:cs="Arial"/>
          <w:sz w:val="21"/>
          <w:szCs w:val="21"/>
        </w:rPr>
        <w:t xml:space="preserve">% auf </w:t>
      </w:r>
      <w:r w:rsidR="00A63719" w:rsidRPr="00A7115E">
        <w:rPr>
          <w:rFonts w:ascii="Arial" w:hAnsi="Arial" w:cs="Arial"/>
          <w:sz w:val="21"/>
          <w:szCs w:val="21"/>
        </w:rPr>
        <w:t>3,0</w:t>
      </w:r>
      <w:r w:rsidR="00265D6E" w:rsidRPr="00A7115E">
        <w:rPr>
          <w:rFonts w:ascii="Arial" w:hAnsi="Arial" w:cs="Arial"/>
          <w:sz w:val="21"/>
          <w:szCs w:val="21"/>
        </w:rPr>
        <w:t> </w:t>
      </w:r>
      <w:r w:rsidR="00A63719" w:rsidRPr="00A7115E">
        <w:rPr>
          <w:rFonts w:ascii="Arial" w:hAnsi="Arial" w:cs="Arial"/>
          <w:sz w:val="21"/>
          <w:szCs w:val="21"/>
        </w:rPr>
        <w:t xml:space="preserve">Mrd. Euro. </w:t>
      </w:r>
      <w:r w:rsidR="00155D39" w:rsidRPr="00A7115E">
        <w:rPr>
          <w:rFonts w:ascii="Arial" w:hAnsi="Arial" w:cs="Arial"/>
          <w:sz w:val="21"/>
          <w:szCs w:val="21"/>
        </w:rPr>
        <w:t xml:space="preserve">Das EBITDA </w:t>
      </w:r>
      <w:r w:rsidR="00956FE8" w:rsidRPr="00A7115E">
        <w:rPr>
          <w:rFonts w:ascii="Arial" w:hAnsi="Arial" w:cs="Arial"/>
          <w:sz w:val="21"/>
          <w:szCs w:val="21"/>
        </w:rPr>
        <w:t xml:space="preserve">belief </w:t>
      </w:r>
      <w:r w:rsidR="009128D2" w:rsidRPr="00A7115E">
        <w:rPr>
          <w:rFonts w:ascii="Arial" w:hAnsi="Arial" w:cs="Arial"/>
          <w:sz w:val="21"/>
          <w:szCs w:val="21"/>
        </w:rPr>
        <w:t xml:space="preserve">sich </w:t>
      </w:r>
      <w:r w:rsidRPr="00A7115E">
        <w:rPr>
          <w:rFonts w:ascii="Arial" w:hAnsi="Arial" w:cs="Arial"/>
          <w:sz w:val="21"/>
          <w:szCs w:val="21"/>
        </w:rPr>
        <w:t>im vierte</w:t>
      </w:r>
      <w:r w:rsidR="008F0936" w:rsidRPr="00A7115E">
        <w:rPr>
          <w:rFonts w:ascii="Arial" w:hAnsi="Arial" w:cs="Arial"/>
          <w:sz w:val="21"/>
          <w:szCs w:val="21"/>
        </w:rPr>
        <w:t>n</w:t>
      </w:r>
      <w:r w:rsidRPr="00A7115E">
        <w:rPr>
          <w:rFonts w:ascii="Arial" w:hAnsi="Arial" w:cs="Arial"/>
          <w:sz w:val="21"/>
          <w:szCs w:val="21"/>
        </w:rPr>
        <w:t xml:space="preserve"> Quartal 2020 </w:t>
      </w:r>
      <w:r w:rsidR="009128D2" w:rsidRPr="00A7115E">
        <w:rPr>
          <w:rFonts w:ascii="Arial" w:hAnsi="Arial" w:cs="Arial"/>
          <w:sz w:val="21"/>
          <w:szCs w:val="21"/>
        </w:rPr>
        <w:t>auf 637</w:t>
      </w:r>
      <w:r w:rsidR="00265D6E" w:rsidRPr="00A7115E">
        <w:rPr>
          <w:rFonts w:ascii="Arial" w:hAnsi="Arial" w:cs="Arial"/>
          <w:sz w:val="21"/>
          <w:szCs w:val="21"/>
        </w:rPr>
        <w:t> </w:t>
      </w:r>
      <w:r w:rsidR="009128D2" w:rsidRPr="00A7115E">
        <w:rPr>
          <w:rFonts w:ascii="Arial" w:hAnsi="Arial" w:cs="Arial"/>
          <w:sz w:val="21"/>
          <w:szCs w:val="21"/>
        </w:rPr>
        <w:t xml:space="preserve">Mio. Euro und hat sich </w:t>
      </w:r>
      <w:r w:rsidR="00187DEE" w:rsidRPr="00A7115E">
        <w:rPr>
          <w:rFonts w:ascii="Arial" w:hAnsi="Arial" w:cs="Arial"/>
          <w:sz w:val="21"/>
          <w:szCs w:val="21"/>
        </w:rPr>
        <w:t xml:space="preserve">im Vergleich zum Vorjahr </w:t>
      </w:r>
      <w:r w:rsidR="005F200F" w:rsidRPr="00A7115E">
        <w:rPr>
          <w:rFonts w:ascii="Arial" w:hAnsi="Arial" w:cs="Arial"/>
          <w:sz w:val="21"/>
          <w:szCs w:val="21"/>
        </w:rPr>
        <w:t>mehr als verdoppelt</w:t>
      </w:r>
      <w:r w:rsidR="00E96E63" w:rsidRPr="00A7115E">
        <w:rPr>
          <w:rFonts w:ascii="Arial" w:hAnsi="Arial" w:cs="Arial"/>
          <w:sz w:val="21"/>
          <w:szCs w:val="21"/>
        </w:rPr>
        <w:t>. D</w:t>
      </w:r>
      <w:r w:rsidR="00187DEE" w:rsidRPr="00A7115E">
        <w:rPr>
          <w:rFonts w:ascii="Arial" w:hAnsi="Arial" w:cs="Arial"/>
          <w:sz w:val="21"/>
          <w:szCs w:val="21"/>
        </w:rPr>
        <w:t xml:space="preserve">as </w:t>
      </w:r>
      <w:r w:rsidRPr="00A7115E">
        <w:rPr>
          <w:rFonts w:ascii="Arial" w:hAnsi="Arial" w:cs="Arial"/>
          <w:sz w:val="21"/>
          <w:szCs w:val="21"/>
        </w:rPr>
        <w:t xml:space="preserve">Konzernergebnis </w:t>
      </w:r>
      <w:r w:rsidR="00DE31F3" w:rsidRPr="00A7115E">
        <w:rPr>
          <w:rFonts w:ascii="Arial" w:hAnsi="Arial" w:cs="Arial"/>
          <w:sz w:val="21"/>
          <w:szCs w:val="21"/>
        </w:rPr>
        <w:t xml:space="preserve">stieg </w:t>
      </w:r>
      <w:r w:rsidR="00472C0D" w:rsidRPr="00A7115E">
        <w:rPr>
          <w:rFonts w:ascii="Arial" w:hAnsi="Arial" w:cs="Arial"/>
          <w:sz w:val="21"/>
          <w:szCs w:val="21"/>
        </w:rPr>
        <w:t>deutlich</w:t>
      </w:r>
      <w:r w:rsidR="00DE31F3" w:rsidRPr="00A7115E">
        <w:rPr>
          <w:rFonts w:ascii="Arial" w:hAnsi="Arial" w:cs="Arial"/>
          <w:sz w:val="21"/>
          <w:szCs w:val="21"/>
        </w:rPr>
        <w:t xml:space="preserve"> </w:t>
      </w:r>
      <w:r w:rsidR="00FD40B2" w:rsidRPr="00A7115E">
        <w:rPr>
          <w:rFonts w:ascii="Arial" w:hAnsi="Arial" w:cs="Arial"/>
          <w:sz w:val="21"/>
          <w:szCs w:val="21"/>
        </w:rPr>
        <w:t xml:space="preserve">von </w:t>
      </w:r>
      <w:r w:rsidR="00D91B1B" w:rsidRPr="00A7115E">
        <w:rPr>
          <w:rFonts w:ascii="Arial" w:hAnsi="Arial" w:cs="Arial"/>
          <w:sz w:val="21"/>
          <w:szCs w:val="21"/>
        </w:rPr>
        <w:t>37</w:t>
      </w:r>
      <w:r w:rsidR="00265D6E" w:rsidRPr="00A7115E">
        <w:rPr>
          <w:rFonts w:ascii="Arial" w:hAnsi="Arial" w:cs="Arial"/>
          <w:sz w:val="21"/>
          <w:szCs w:val="21"/>
        </w:rPr>
        <w:t> </w:t>
      </w:r>
      <w:r w:rsidR="00D91B1B" w:rsidRPr="00A7115E">
        <w:rPr>
          <w:rFonts w:ascii="Arial" w:hAnsi="Arial" w:cs="Arial"/>
          <w:sz w:val="21"/>
          <w:szCs w:val="21"/>
        </w:rPr>
        <w:t>Mio. Euro</w:t>
      </w:r>
      <w:r w:rsidR="00FD40B2" w:rsidRPr="00A7115E">
        <w:rPr>
          <w:rFonts w:ascii="Arial" w:hAnsi="Arial" w:cs="Arial"/>
          <w:sz w:val="21"/>
          <w:szCs w:val="21"/>
        </w:rPr>
        <w:t xml:space="preserve"> im Vorjahresquartal</w:t>
      </w:r>
      <w:r w:rsidR="00FD40B2" w:rsidRPr="00036A09">
        <w:rPr>
          <w:rFonts w:ascii="Arial" w:hAnsi="Arial" w:cs="Arial"/>
          <w:sz w:val="21"/>
          <w:szCs w:val="21"/>
        </w:rPr>
        <w:t xml:space="preserve"> auf </w:t>
      </w:r>
      <w:r w:rsidRPr="00A7115E">
        <w:rPr>
          <w:rFonts w:ascii="Arial" w:hAnsi="Arial" w:cs="Arial"/>
          <w:sz w:val="21"/>
          <w:szCs w:val="21"/>
        </w:rPr>
        <w:t>312</w:t>
      </w:r>
      <w:r w:rsidR="00265D6E" w:rsidRPr="00A7115E">
        <w:rPr>
          <w:rFonts w:ascii="Arial" w:hAnsi="Arial" w:cs="Arial"/>
          <w:sz w:val="21"/>
          <w:szCs w:val="21"/>
        </w:rPr>
        <w:t> </w:t>
      </w:r>
      <w:r w:rsidRPr="00A7115E">
        <w:rPr>
          <w:rFonts w:ascii="Arial" w:hAnsi="Arial" w:cs="Arial"/>
          <w:sz w:val="21"/>
          <w:szCs w:val="21"/>
        </w:rPr>
        <w:t xml:space="preserve">Mio. Euro. </w:t>
      </w:r>
      <w:r w:rsidR="007A79BE" w:rsidRPr="00A7115E">
        <w:rPr>
          <w:rFonts w:ascii="Arial" w:hAnsi="Arial" w:cs="Arial"/>
          <w:sz w:val="21"/>
          <w:szCs w:val="21"/>
        </w:rPr>
        <w:t>Auch d</w:t>
      </w:r>
      <w:r w:rsidRPr="00A7115E">
        <w:rPr>
          <w:rFonts w:ascii="Arial" w:hAnsi="Arial" w:cs="Arial"/>
          <w:sz w:val="21"/>
          <w:szCs w:val="21"/>
        </w:rPr>
        <w:t xml:space="preserve">er </w:t>
      </w:r>
      <w:r w:rsidR="00E96E63" w:rsidRPr="00A7115E">
        <w:rPr>
          <w:rFonts w:ascii="Arial" w:hAnsi="Arial" w:cs="Arial"/>
          <w:sz w:val="21"/>
          <w:szCs w:val="21"/>
        </w:rPr>
        <w:t>FOCF</w:t>
      </w:r>
      <w:r w:rsidRPr="00A7115E">
        <w:rPr>
          <w:rFonts w:ascii="Arial" w:hAnsi="Arial" w:cs="Arial"/>
          <w:sz w:val="21"/>
          <w:szCs w:val="21"/>
        </w:rPr>
        <w:t xml:space="preserve"> </w:t>
      </w:r>
      <w:r w:rsidR="00472C0D" w:rsidRPr="00A7115E">
        <w:rPr>
          <w:rFonts w:ascii="Arial" w:hAnsi="Arial" w:cs="Arial"/>
          <w:sz w:val="21"/>
          <w:szCs w:val="21"/>
        </w:rPr>
        <w:t xml:space="preserve">erhöhte sich </w:t>
      </w:r>
      <w:r w:rsidR="007A79BE" w:rsidRPr="00A7115E">
        <w:rPr>
          <w:rFonts w:ascii="Arial" w:hAnsi="Arial" w:cs="Arial"/>
          <w:sz w:val="21"/>
          <w:szCs w:val="21"/>
        </w:rPr>
        <w:t>im vierten Quartal</w:t>
      </w:r>
      <w:r w:rsidRPr="00A7115E">
        <w:rPr>
          <w:rFonts w:ascii="Arial" w:hAnsi="Arial" w:cs="Arial"/>
          <w:sz w:val="21"/>
          <w:szCs w:val="21"/>
        </w:rPr>
        <w:t xml:space="preserve"> um 19,4</w:t>
      </w:r>
      <w:r w:rsidR="00265D6E" w:rsidRPr="00A7115E">
        <w:rPr>
          <w:rFonts w:ascii="Arial" w:hAnsi="Arial" w:cs="Arial"/>
          <w:sz w:val="21"/>
          <w:szCs w:val="21"/>
        </w:rPr>
        <w:t> </w:t>
      </w:r>
      <w:r w:rsidRPr="00A7115E">
        <w:rPr>
          <w:rFonts w:ascii="Arial" w:hAnsi="Arial" w:cs="Arial"/>
          <w:sz w:val="21"/>
          <w:szCs w:val="21"/>
        </w:rPr>
        <w:t>% auf 394</w:t>
      </w:r>
      <w:r w:rsidR="00265D6E" w:rsidRPr="00A7115E">
        <w:rPr>
          <w:rFonts w:ascii="Arial" w:hAnsi="Arial" w:cs="Arial"/>
          <w:sz w:val="21"/>
          <w:szCs w:val="21"/>
        </w:rPr>
        <w:t> </w:t>
      </w:r>
      <w:r w:rsidRPr="00A7115E">
        <w:rPr>
          <w:rFonts w:ascii="Arial" w:hAnsi="Arial" w:cs="Arial"/>
          <w:sz w:val="21"/>
          <w:szCs w:val="21"/>
        </w:rPr>
        <w:t>Mio. Euro.</w:t>
      </w:r>
    </w:p>
    <w:p w14:paraId="73609569" w14:textId="77777777" w:rsidR="00F1794C" w:rsidRDefault="00F1794C" w:rsidP="004D0E37">
      <w:pPr>
        <w:spacing w:after="0" w:line="300" w:lineRule="atLeast"/>
        <w:rPr>
          <w:lang w:val="de-DE"/>
        </w:rPr>
      </w:pPr>
    </w:p>
    <w:p w14:paraId="152509B7" w14:textId="77777777" w:rsidR="005F2A0B" w:rsidRDefault="005F2A0B" w:rsidP="004D0E37">
      <w:pPr>
        <w:spacing w:after="0" w:line="300" w:lineRule="atLeast"/>
        <w:rPr>
          <w:lang w:val="de-DE"/>
        </w:rPr>
      </w:pPr>
    </w:p>
    <w:p w14:paraId="7360956F" w14:textId="77777777" w:rsidR="00D67291" w:rsidRDefault="00D67291" w:rsidP="004D0E37">
      <w:pPr>
        <w:spacing w:after="0" w:line="300" w:lineRule="atLeas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447B96E1" w14:textId="33E48AA2" w:rsidR="003562DD" w:rsidRDefault="00BB0095" w:rsidP="004D0E37">
      <w:pPr>
        <w:spacing w:after="0" w:line="300" w:lineRule="atLeast"/>
        <w:rPr>
          <w:lang w:val="de-DE"/>
        </w:rPr>
      </w:pPr>
      <w:r w:rsidRPr="00404F80">
        <w:rPr>
          <w:lang w:val="de-DE"/>
        </w:rPr>
        <w:t xml:space="preserve">Mit einem Umsatz </w:t>
      </w:r>
      <w:r w:rsidRPr="00036A09">
        <w:rPr>
          <w:lang w:val="de-DE"/>
        </w:rPr>
        <w:t xml:space="preserve">von </w:t>
      </w:r>
      <w:r w:rsidR="004F2EFF" w:rsidRPr="00293FBE">
        <w:rPr>
          <w:lang w:val="de-DE"/>
        </w:rPr>
        <w:t>10,7</w:t>
      </w:r>
      <w:r w:rsidR="00265D6E">
        <w:rPr>
          <w:lang w:val="de-DE"/>
        </w:rPr>
        <w:t> </w:t>
      </w:r>
      <w:r w:rsidRPr="00293FBE">
        <w:rPr>
          <w:lang w:val="de-DE"/>
        </w:rPr>
        <w:t>Milliarden Euro im Jahr 2020</w:t>
      </w:r>
      <w:r w:rsidRPr="00036A09">
        <w:rPr>
          <w:lang w:val="de-DE"/>
        </w:rPr>
        <w:t xml:space="preserve"> gehört Covestro zu den weltweit </w:t>
      </w:r>
      <w:r w:rsidRPr="00293FBE">
        <w:rPr>
          <w:lang w:val="de-DE"/>
        </w:rPr>
        <w:t>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w:t>
      </w:r>
      <w:r w:rsidR="00D1062F">
        <w:rPr>
          <w:lang w:val="de-DE"/>
        </w:rPr>
        <w:t>ie</w:t>
      </w:r>
      <w:r w:rsidRPr="00293FBE">
        <w:rPr>
          <w:lang w:val="de-DE"/>
        </w:rPr>
        <w:t xml:space="preserve"> Elektrik-, Elektronik- und Haushaltsgeräte</w:t>
      </w:r>
      <w:r w:rsidR="00534BC6">
        <w:rPr>
          <w:lang w:val="de-DE"/>
        </w:rPr>
        <w:t>industrie</w:t>
      </w:r>
      <w:r w:rsidRPr="00293FBE">
        <w:rPr>
          <w:lang w:val="de-DE"/>
        </w:rPr>
        <w:t>. Hinzu kommen Bereiche wie Sport und Freizeit, Kosmetik, Gesundheit sowie die Chemieindustrie selbst. Per Ende 2020 produziert Covestro an 33</w:t>
      </w:r>
      <w:r w:rsidR="00265D6E">
        <w:rPr>
          <w:lang w:val="de-DE"/>
        </w:rPr>
        <w:t> </w:t>
      </w:r>
      <w:r w:rsidRPr="00036A09">
        <w:rPr>
          <w:lang w:val="de-DE"/>
        </w:rPr>
        <w:t xml:space="preserve">Standorten </w:t>
      </w:r>
      <w:r w:rsidRPr="00036A09">
        <w:rPr>
          <w:lang w:val="de-DE"/>
        </w:rPr>
        <w:lastRenderedPageBreak/>
        <w:t>weltwe</w:t>
      </w:r>
      <w:r w:rsidRPr="00293FBE">
        <w:rPr>
          <w:lang w:val="de-DE"/>
        </w:rPr>
        <w:t xml:space="preserve">it und beschäftigt rund </w:t>
      </w:r>
      <w:r w:rsidR="00036A09" w:rsidRPr="00036A09">
        <w:rPr>
          <w:lang w:val="de-DE"/>
        </w:rPr>
        <w:t>16.500</w:t>
      </w:r>
      <w:r w:rsidR="00265D6E">
        <w:rPr>
          <w:lang w:val="de-DE"/>
        </w:rPr>
        <w:t> </w:t>
      </w:r>
      <w:r w:rsidRPr="00293FBE">
        <w:rPr>
          <w:lang w:val="de-DE"/>
        </w:rPr>
        <w:t>Mitarbeitende (umgerechnet</w:t>
      </w:r>
      <w:r w:rsidRPr="00404F80">
        <w:rPr>
          <w:lang w:val="de-DE"/>
        </w:rPr>
        <w:t xml:space="preserve"> auf Vollzeitstellen</w:t>
      </w:r>
      <w:r w:rsidR="00C00BD6">
        <w:rPr>
          <w:lang w:val="de-DE"/>
        </w:rPr>
        <w:t>)</w:t>
      </w:r>
      <w:r w:rsidR="003D0C86">
        <w:rPr>
          <w:lang w:val="de-DE"/>
        </w:rPr>
        <w:t>.</w:t>
      </w:r>
      <w:r w:rsidDel="00BB0095">
        <w:rPr>
          <w:lang w:val="de-DE"/>
        </w:rPr>
        <w:t xml:space="preserve"> </w:t>
      </w:r>
    </w:p>
    <w:p w14:paraId="50E7779C" w14:textId="5AE48073" w:rsidR="003562DD" w:rsidRDefault="003562DD" w:rsidP="004D0E37">
      <w:pPr>
        <w:spacing w:after="0" w:line="300" w:lineRule="atLeast"/>
        <w:rPr>
          <w:lang w:val="de-DE"/>
        </w:rPr>
      </w:pPr>
    </w:p>
    <w:p w14:paraId="6546B60C" w14:textId="77777777" w:rsidR="004B45D9" w:rsidRPr="00B853C2" w:rsidRDefault="004B45D9" w:rsidP="004D0E37">
      <w:pPr>
        <w:spacing w:after="0" w:line="300" w:lineRule="atLeast"/>
        <w:rPr>
          <w:b/>
          <w:bCs/>
          <w:i/>
          <w:u w:val="single"/>
          <w:lang w:val="de-DE"/>
        </w:rPr>
      </w:pPr>
      <w:r w:rsidRPr="00B853C2">
        <w:rPr>
          <w:b/>
          <w:bCs/>
          <w:i/>
          <w:u w:val="single"/>
          <w:lang w:val="de-DE"/>
        </w:rPr>
        <w:t>Hinweise an die Redaktionen:</w:t>
      </w:r>
    </w:p>
    <w:p w14:paraId="64C2D97A" w14:textId="77777777" w:rsidR="004B45D9" w:rsidRPr="005876B0" w:rsidRDefault="004B45D9" w:rsidP="004D0E37">
      <w:pPr>
        <w:spacing w:after="0" w:line="300" w:lineRule="atLeast"/>
        <w:rPr>
          <w:i/>
          <w:lang w:val="de-DE"/>
        </w:rPr>
      </w:pPr>
    </w:p>
    <w:p w14:paraId="221E0579" w14:textId="65C7AB92" w:rsidR="004B45D9" w:rsidRPr="005876B0" w:rsidRDefault="004B45D9" w:rsidP="004D0E37">
      <w:pPr>
        <w:spacing w:after="0" w:line="300" w:lineRule="atLeast"/>
        <w:rPr>
          <w:i/>
          <w:lang w:val="de-DE"/>
        </w:rPr>
      </w:pPr>
      <w:r w:rsidRPr="005876B0">
        <w:rPr>
          <w:i/>
          <w:lang w:val="de-DE"/>
        </w:rPr>
        <w:t>Nachfolgend erhalten Sie eine Tabelle mit Kennzahlen der Covestro AG zum Geschäftsjahr 20</w:t>
      </w:r>
      <w:r>
        <w:rPr>
          <w:i/>
          <w:lang w:val="de-DE"/>
        </w:rPr>
        <w:t>20.</w:t>
      </w:r>
    </w:p>
    <w:p w14:paraId="74C4B8DD" w14:textId="77777777" w:rsidR="004B45D9" w:rsidRPr="005876B0" w:rsidRDefault="004B45D9" w:rsidP="004D0E37">
      <w:pPr>
        <w:spacing w:after="0" w:line="300" w:lineRule="atLeast"/>
        <w:rPr>
          <w:i/>
          <w:lang w:val="de-DE"/>
        </w:rPr>
      </w:pPr>
    </w:p>
    <w:p w14:paraId="1264F22B" w14:textId="65A8280A" w:rsidR="00996961" w:rsidRDefault="00996961" w:rsidP="00996961">
      <w:pPr>
        <w:spacing w:after="0" w:line="300" w:lineRule="atLeast"/>
        <w:rPr>
          <w:i/>
          <w:lang w:val="de-DE"/>
        </w:rPr>
      </w:pPr>
      <w:r w:rsidRPr="005876B0">
        <w:rPr>
          <w:i/>
          <w:lang w:val="de-DE"/>
        </w:rPr>
        <w:t xml:space="preserve">Die </w:t>
      </w:r>
      <w:r>
        <w:rPr>
          <w:i/>
          <w:lang w:val="de-DE"/>
        </w:rPr>
        <w:t>Bilanz-</w:t>
      </w:r>
      <w:r w:rsidRPr="005876B0">
        <w:rPr>
          <w:i/>
          <w:lang w:val="de-DE"/>
        </w:rPr>
        <w:t>Pressekonferenz beginnt um 10</w:t>
      </w:r>
      <w:r w:rsidR="007F2FC9">
        <w:rPr>
          <w:i/>
          <w:lang w:val="de-DE"/>
        </w:rPr>
        <w:t>:</w:t>
      </w:r>
      <w:r w:rsidRPr="005876B0">
        <w:rPr>
          <w:i/>
          <w:lang w:val="de-DE"/>
        </w:rPr>
        <w:t>00 Uhr MEZ und kann</w:t>
      </w:r>
      <w:r>
        <w:rPr>
          <w:i/>
          <w:lang w:val="de-DE"/>
        </w:rPr>
        <w:t xml:space="preserve"> </w:t>
      </w:r>
      <w:hyperlink r:id="rId11" w:history="1">
        <w:r w:rsidRPr="002F3CAF">
          <w:rPr>
            <w:rStyle w:val="Hyperlink"/>
            <w:i/>
            <w:lang w:val="de-DE"/>
          </w:rPr>
          <w:t>hier</w:t>
        </w:r>
      </w:hyperlink>
      <w:r w:rsidRPr="005876B0">
        <w:rPr>
          <w:i/>
          <w:lang w:val="de-DE"/>
        </w:rPr>
        <w:t xml:space="preserve"> </w:t>
      </w:r>
      <w:r>
        <w:rPr>
          <w:i/>
          <w:lang w:val="de-DE"/>
        </w:rPr>
        <w:t>live</w:t>
      </w:r>
      <w:r w:rsidRPr="005876B0">
        <w:rPr>
          <w:i/>
          <w:lang w:val="de-DE"/>
        </w:rPr>
        <w:t xml:space="preserve"> verfolgt werden.</w:t>
      </w:r>
    </w:p>
    <w:p w14:paraId="4F2F9B17" w14:textId="77777777" w:rsidR="00996961" w:rsidRPr="00996961" w:rsidRDefault="00996961" w:rsidP="00996961">
      <w:pPr>
        <w:spacing w:after="0" w:line="300" w:lineRule="atLeast"/>
        <w:rPr>
          <w:i/>
          <w:lang w:val="de-DE"/>
        </w:rPr>
      </w:pPr>
    </w:p>
    <w:p w14:paraId="4CDD45A6" w14:textId="1C27EB4A" w:rsidR="004B45D9" w:rsidRDefault="007F2FC9" w:rsidP="00996961">
      <w:pPr>
        <w:spacing w:after="0" w:line="300" w:lineRule="atLeast"/>
        <w:rPr>
          <w:rFonts w:cs="Arial"/>
          <w:i/>
          <w:iCs/>
          <w:noProof w:val="0"/>
          <w:spacing w:val="0"/>
          <w:kern w:val="0"/>
          <w:szCs w:val="21"/>
          <w:lang w:val="de-DE"/>
        </w:rPr>
      </w:pPr>
      <w:r>
        <w:rPr>
          <w:i/>
          <w:lang w:val="de-DE"/>
        </w:rPr>
        <w:t>Die</w:t>
      </w:r>
      <w:r w:rsidR="004B45D9" w:rsidRPr="00996961">
        <w:rPr>
          <w:i/>
          <w:lang w:val="de-DE"/>
        </w:rPr>
        <w:t xml:space="preserve"> Präsentation der </w:t>
      </w:r>
      <w:r w:rsidR="00996961">
        <w:rPr>
          <w:i/>
          <w:lang w:val="de-DE"/>
        </w:rPr>
        <w:t>Bilanz-Pressek</w:t>
      </w:r>
      <w:r w:rsidR="004B45D9" w:rsidRPr="00996961">
        <w:rPr>
          <w:i/>
          <w:lang w:val="de-DE"/>
        </w:rPr>
        <w:t xml:space="preserve">onferenz finden Sie </w:t>
      </w:r>
      <w:r w:rsidR="00C2402E">
        <w:rPr>
          <w:i/>
          <w:lang w:val="de-DE"/>
        </w:rPr>
        <w:t xml:space="preserve">in der digitalen Pressemappe </w:t>
      </w:r>
      <w:r>
        <w:rPr>
          <w:i/>
          <w:lang w:val="de-DE"/>
        </w:rPr>
        <w:t xml:space="preserve">ab 10:00 Uhr MEZ </w:t>
      </w:r>
      <w:r w:rsidR="004B45D9" w:rsidRPr="00996961">
        <w:rPr>
          <w:i/>
          <w:lang w:val="de-DE"/>
        </w:rPr>
        <w:t>unter:</w:t>
      </w:r>
      <w:r w:rsidR="004B45D9" w:rsidRPr="00996961">
        <w:rPr>
          <w:rFonts w:cs="Arial"/>
          <w:i/>
          <w:iCs/>
          <w:noProof w:val="0"/>
          <w:spacing w:val="0"/>
          <w:kern w:val="0"/>
          <w:szCs w:val="21"/>
          <w:lang w:val="de-DE"/>
        </w:rPr>
        <w:t xml:space="preserve"> </w:t>
      </w:r>
      <w:hyperlink r:id="rId12" w:history="1">
        <w:r w:rsidR="00C2402E" w:rsidRPr="00B11BFC">
          <w:rPr>
            <w:rStyle w:val="Hyperlink"/>
            <w:rFonts w:cs="Arial"/>
            <w:i/>
            <w:iCs/>
            <w:noProof w:val="0"/>
            <w:spacing w:val="0"/>
            <w:kern w:val="0"/>
            <w:szCs w:val="21"/>
            <w:lang w:val="de-DE"/>
          </w:rPr>
          <w:t>https://www.covestro.com/press/de/</w:t>
        </w:r>
      </w:hyperlink>
    </w:p>
    <w:p w14:paraId="3C5CE461" w14:textId="77777777" w:rsidR="00C2402E" w:rsidRPr="00996961" w:rsidRDefault="00C2402E" w:rsidP="00996961">
      <w:pPr>
        <w:spacing w:after="0" w:line="300" w:lineRule="atLeast"/>
        <w:rPr>
          <w:i/>
          <w:lang w:val="de-DE"/>
        </w:rPr>
      </w:pPr>
    </w:p>
    <w:p w14:paraId="06B3FDEA" w14:textId="77777777" w:rsidR="00C2402E" w:rsidRPr="00C2402E" w:rsidRDefault="004B45D9" w:rsidP="004D0E37">
      <w:pPr>
        <w:spacing w:after="0" w:line="300" w:lineRule="atLeast"/>
        <w:rPr>
          <w:i/>
          <w:lang w:val="de-DE"/>
        </w:rPr>
      </w:pPr>
      <w:r w:rsidRPr="00996961">
        <w:rPr>
          <w:i/>
          <w:szCs w:val="21"/>
          <w:lang w:val="de-DE"/>
        </w:rPr>
        <w:t xml:space="preserve">Der Geschäftsbericht </w:t>
      </w:r>
      <w:r w:rsidR="003F4B69" w:rsidRPr="00996961">
        <w:rPr>
          <w:i/>
          <w:szCs w:val="21"/>
          <w:lang w:val="de-DE"/>
        </w:rPr>
        <w:t xml:space="preserve">2020 </w:t>
      </w:r>
      <w:r w:rsidRPr="00996961">
        <w:rPr>
          <w:i/>
          <w:szCs w:val="21"/>
          <w:lang w:val="de-DE"/>
        </w:rPr>
        <w:t>ist verfügbar unter</w:t>
      </w:r>
      <w:r w:rsidR="00C2402E">
        <w:rPr>
          <w:i/>
          <w:szCs w:val="21"/>
          <w:lang w:val="de-DE"/>
        </w:rPr>
        <w:t xml:space="preserve"> </w:t>
      </w:r>
      <w:r w:rsidR="00C2402E">
        <w:rPr>
          <w:i/>
          <w:lang w:val="de-DE"/>
        </w:rPr>
        <w:fldChar w:fldCharType="begin"/>
      </w:r>
      <w:r w:rsidR="00C2402E">
        <w:rPr>
          <w:i/>
          <w:lang w:val="de-DE"/>
        </w:rPr>
        <w:instrText xml:space="preserve"> HYPERLINK "</w:instrText>
      </w:r>
      <w:r w:rsidR="00C2402E" w:rsidRPr="00C2402E">
        <w:rPr>
          <w:i/>
          <w:lang w:val="de-DE"/>
        </w:rPr>
        <w:instrText>https://</w:instrText>
      </w:r>
      <w:r w:rsidR="00C2402E" w:rsidRPr="00C2402E">
        <w:rPr>
          <w:rFonts w:cs="Arial"/>
          <w:i/>
          <w:iCs/>
          <w:noProof w:val="0"/>
          <w:spacing w:val="0"/>
          <w:kern w:val="0"/>
          <w:szCs w:val="21"/>
          <w:lang w:val="de-DE"/>
        </w:rPr>
        <w:instrText>bericht.covestro.com.</w:instrText>
      </w:r>
    </w:p>
    <w:p w14:paraId="42209EB9" w14:textId="77777777" w:rsidR="00C2402E" w:rsidRPr="00B11BFC" w:rsidRDefault="00C2402E" w:rsidP="004D0E37">
      <w:pPr>
        <w:spacing w:after="0" w:line="300" w:lineRule="atLeast"/>
        <w:rPr>
          <w:rStyle w:val="Hyperlink"/>
          <w:i/>
          <w:lang w:val="de-DE"/>
        </w:rPr>
      </w:pPr>
      <w:r>
        <w:rPr>
          <w:i/>
          <w:lang w:val="de-DE"/>
        </w:rPr>
        <w:instrText xml:space="preserve">" </w:instrText>
      </w:r>
      <w:r>
        <w:rPr>
          <w:i/>
          <w:lang w:val="de-DE"/>
        </w:rPr>
        <w:fldChar w:fldCharType="separate"/>
      </w:r>
      <w:r w:rsidRPr="00B11BFC">
        <w:rPr>
          <w:rStyle w:val="Hyperlink"/>
          <w:i/>
          <w:lang w:val="de-DE"/>
        </w:rPr>
        <w:t>https://</w:t>
      </w:r>
      <w:r w:rsidRPr="00B11BFC">
        <w:rPr>
          <w:rStyle w:val="Hyperlink"/>
          <w:rFonts w:cs="Arial"/>
          <w:i/>
          <w:iCs/>
          <w:noProof w:val="0"/>
          <w:spacing w:val="0"/>
          <w:kern w:val="0"/>
          <w:szCs w:val="21"/>
          <w:lang w:val="de-DE"/>
        </w:rPr>
        <w:t>bericht.covestro.com.</w:t>
      </w:r>
    </w:p>
    <w:p w14:paraId="0F4F9762" w14:textId="7875F931" w:rsidR="004B45D9" w:rsidRPr="005876B0" w:rsidRDefault="00C2402E" w:rsidP="004D0E37">
      <w:pPr>
        <w:spacing w:after="0" w:line="300" w:lineRule="atLeast"/>
        <w:rPr>
          <w:i/>
          <w:lang w:val="de-DE"/>
        </w:rPr>
      </w:pPr>
      <w:r>
        <w:rPr>
          <w:i/>
          <w:lang w:val="de-DE"/>
        </w:rPr>
        <w:fldChar w:fldCharType="end"/>
      </w:r>
    </w:p>
    <w:p w14:paraId="0E13441C" w14:textId="108797FF" w:rsidR="004B45D9" w:rsidRPr="00C2402E" w:rsidRDefault="004B45D9" w:rsidP="004D0E37">
      <w:pPr>
        <w:spacing w:after="0" w:line="300" w:lineRule="atLeast"/>
        <w:rPr>
          <w:lang w:val="de-DE"/>
        </w:rPr>
      </w:pPr>
      <w:r w:rsidRPr="005876B0">
        <w:rPr>
          <w:lang w:val="de-DE"/>
        </w:rPr>
        <w:t xml:space="preserve">Mehr Informationen finden Sie unter </w:t>
      </w:r>
      <w:hyperlink r:id="rId13" w:history="1">
        <w:r w:rsidR="003F4B69" w:rsidRPr="00C2402E">
          <w:rPr>
            <w:rStyle w:val="Hyperlink"/>
            <w:i/>
            <w:iCs/>
            <w:lang w:val="de-DE"/>
          </w:rPr>
          <w:t>www.covestro.com</w:t>
        </w:r>
      </w:hyperlink>
      <w:r w:rsidRPr="00C2402E">
        <w:rPr>
          <w:i/>
          <w:iCs/>
          <w:lang w:val="de-DE"/>
        </w:rPr>
        <w:t>.</w:t>
      </w:r>
    </w:p>
    <w:p w14:paraId="73609576" w14:textId="573A0B32" w:rsidR="00670E26" w:rsidRPr="00C2402E" w:rsidRDefault="00B0357E" w:rsidP="004D0E37">
      <w:pPr>
        <w:spacing w:after="0" w:line="300" w:lineRule="atLeast"/>
        <w:rPr>
          <w:lang w:val="de-DE"/>
        </w:rPr>
      </w:pPr>
      <w:r w:rsidRPr="00C2402E">
        <w:rPr>
          <w:lang w:val="de-DE"/>
        </w:rPr>
        <w:t xml:space="preserve">Folgen Sie uns auf Twitter: </w:t>
      </w:r>
      <w:hyperlink r:id="rId14" w:history="1">
        <w:r w:rsidRPr="00C2402E">
          <w:rPr>
            <w:rStyle w:val="Hyperlink"/>
            <w:i/>
            <w:iCs/>
            <w:lang w:val="de-DE"/>
          </w:rPr>
          <w:t>https://twitter.com/covestro</w:t>
        </w:r>
      </w:hyperlink>
      <w:r w:rsidR="004B45D9" w:rsidRPr="00C2402E">
        <w:rPr>
          <w:rStyle w:val="Hyperlink"/>
          <w:i/>
          <w:iCs/>
          <w:color w:val="auto"/>
          <w:u w:val="none"/>
          <w:lang w:val="de-DE"/>
        </w:rPr>
        <w:t>.</w:t>
      </w:r>
      <w:r w:rsidRPr="00C2402E">
        <w:rPr>
          <w:lang w:val="de-DE"/>
        </w:rPr>
        <w:t xml:space="preserve"> </w:t>
      </w:r>
    </w:p>
    <w:p w14:paraId="73609578" w14:textId="77777777" w:rsidR="00C412D1" w:rsidRPr="00C412D1" w:rsidRDefault="00C412D1" w:rsidP="004D0E37">
      <w:pPr>
        <w:spacing w:after="0" w:line="300" w:lineRule="atLeast"/>
        <w:rPr>
          <w:rFonts w:ascii="Calibri" w:eastAsia="Calibri" w:hAnsi="Calibri" w:cs="Calibri"/>
          <w:noProof w:val="0"/>
          <w:spacing w:val="0"/>
          <w:kern w:val="0"/>
          <w:sz w:val="22"/>
          <w:lang w:val="de-DE" w:eastAsia="en-US"/>
        </w:rPr>
      </w:pPr>
    </w:p>
    <w:p w14:paraId="73609579" w14:textId="77777777" w:rsidR="00064D63" w:rsidRPr="00064D63" w:rsidRDefault="00064D63" w:rsidP="004D0E37">
      <w:pPr>
        <w:spacing w:after="0" w:line="300"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360957B" w14:textId="666EE00E" w:rsidR="00E91DBC" w:rsidRPr="00722117" w:rsidRDefault="008E26C3" w:rsidP="004D0E37">
      <w:pPr>
        <w:spacing w:after="0" w:line="300"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7C4F0C21" w14:textId="39E84646" w:rsidR="00B5193D" w:rsidRDefault="00B5193D" w:rsidP="00DC3730">
      <w:pPr>
        <w:spacing w:after="0" w:line="240" w:lineRule="auto"/>
        <w:rPr>
          <w:rFonts w:cs="Arial"/>
          <w:sz w:val="16"/>
          <w:szCs w:val="16"/>
          <w:lang w:val="de-DE"/>
        </w:rPr>
      </w:pPr>
      <w:bookmarkStart w:id="0" w:name="RANGE!B5:J66"/>
      <w:bookmarkStart w:id="1" w:name="SNEID_52f812d844b84cd18c7c186778d4cd75"/>
      <w:bookmarkEnd w:id="0"/>
      <w:bookmarkEnd w:id="1"/>
    </w:p>
    <w:p w14:paraId="1EDCCDE3" w14:textId="4EFF190D" w:rsidR="001F25B2" w:rsidRDefault="001F25B2">
      <w:pPr>
        <w:spacing w:after="0" w:line="240" w:lineRule="auto"/>
        <w:rPr>
          <w:rFonts w:cs="Arial"/>
          <w:sz w:val="16"/>
          <w:szCs w:val="16"/>
          <w:lang w:val="de-DE"/>
        </w:rPr>
      </w:pPr>
      <w:r>
        <w:rPr>
          <w:rFonts w:cs="Arial"/>
          <w:sz w:val="16"/>
          <w:szCs w:val="16"/>
          <w:lang w:val="de-DE"/>
        </w:rPr>
        <w:br w:type="page"/>
      </w:r>
    </w:p>
    <w:tbl>
      <w:tblPr>
        <w:tblW w:w="10206" w:type="dxa"/>
        <w:tblInd w:w="-2943" w:type="dxa"/>
        <w:tblLayout w:type="fixed"/>
        <w:tblCellMar>
          <w:left w:w="0" w:type="dxa"/>
          <w:right w:w="0" w:type="dxa"/>
        </w:tblCellMar>
        <w:tblLook w:val="0000" w:firstRow="0" w:lastRow="0" w:firstColumn="0" w:lastColumn="0" w:noHBand="0" w:noVBand="0"/>
        <w:tblCaption w:val="Pressemitteilung "/>
        <w:tblDescription w:val="SNEID_52f812d844b84cd18c7c186778d4cd75"/>
      </w:tblPr>
      <w:tblGrid>
        <w:gridCol w:w="3402"/>
        <w:gridCol w:w="1134"/>
        <w:gridCol w:w="1134"/>
        <w:gridCol w:w="1134"/>
        <w:gridCol w:w="1134"/>
        <w:gridCol w:w="1134"/>
        <w:gridCol w:w="1134"/>
      </w:tblGrid>
      <w:tr w:rsidR="001F25B2" w:rsidRPr="003D565A" w14:paraId="46F2B24B" w14:textId="77777777" w:rsidTr="001F25B2">
        <w:trPr>
          <w:tblHeader/>
        </w:trPr>
        <w:tc>
          <w:tcPr>
            <w:tcW w:w="10206" w:type="dxa"/>
            <w:gridSpan w:val="7"/>
            <w:tcBorders>
              <w:bottom w:val="single" w:sz="8" w:space="0" w:color="009FE4"/>
            </w:tcBorders>
            <w:noWrap/>
            <w:vAlign w:val="center"/>
          </w:tcPr>
          <w:p w14:paraId="23FD4953" w14:textId="77777777" w:rsidR="001F25B2" w:rsidRDefault="001F25B2" w:rsidP="004F297A">
            <w:pPr>
              <w:pStyle w:val="Ttitleblue"/>
              <w:keepNext/>
            </w:pPr>
            <w:bookmarkStart w:id="2" w:name="RANGE!B5:J5"/>
            <w:proofErr w:type="spellStart"/>
            <w:r w:rsidRPr="003D565A">
              <w:rPr>
                <w:b/>
                <w:bCs/>
              </w:rPr>
              <w:lastRenderedPageBreak/>
              <w:t>Kennzahlen</w:t>
            </w:r>
            <w:proofErr w:type="spellEnd"/>
            <w:r w:rsidRPr="003D565A">
              <w:rPr>
                <w:b/>
                <w:bCs/>
              </w:rPr>
              <w:t xml:space="preserve"> Covestro-</w:t>
            </w:r>
            <w:proofErr w:type="spellStart"/>
            <w:r w:rsidRPr="003D565A">
              <w:rPr>
                <w:b/>
                <w:bCs/>
              </w:rPr>
              <w:t>Konzern</w:t>
            </w:r>
            <w:bookmarkEnd w:id="2"/>
            <w:proofErr w:type="spellEnd"/>
          </w:p>
        </w:tc>
      </w:tr>
      <w:tr w:rsidR="001F25B2" w:rsidRPr="003D565A" w14:paraId="3429EDE5" w14:textId="77777777" w:rsidTr="001F25B2">
        <w:trPr>
          <w:tblHeader/>
        </w:trPr>
        <w:tc>
          <w:tcPr>
            <w:tcW w:w="3402" w:type="dxa"/>
            <w:tcBorders>
              <w:top w:val="single" w:sz="8" w:space="0" w:color="009FE4"/>
            </w:tcBorders>
            <w:noWrap/>
            <w:vAlign w:val="bottom"/>
          </w:tcPr>
          <w:p w14:paraId="67AEC97A" w14:textId="77777777" w:rsidR="001F25B2" w:rsidRPr="003D565A" w:rsidRDefault="001F25B2" w:rsidP="004F297A">
            <w:pPr>
              <w:pStyle w:val="TDummy"/>
              <w:keepNext/>
            </w:pPr>
            <w:bookmarkStart w:id="3" w:name="RANGE!B6:J6"/>
            <w:r w:rsidRPr="003D565A">
              <w:t> </w:t>
            </w:r>
            <w:bookmarkEnd w:id="3"/>
          </w:p>
        </w:tc>
        <w:tc>
          <w:tcPr>
            <w:tcW w:w="1134" w:type="dxa"/>
            <w:tcBorders>
              <w:top w:val="single" w:sz="8" w:space="0" w:color="009FE4"/>
            </w:tcBorders>
            <w:noWrap/>
            <w:vAlign w:val="bottom"/>
          </w:tcPr>
          <w:p w14:paraId="37742C2E" w14:textId="77777777" w:rsidR="001F25B2" w:rsidRPr="003D565A" w:rsidRDefault="001F25B2" w:rsidP="004F297A">
            <w:pPr>
              <w:pStyle w:val="TDummy"/>
              <w:keepNext/>
            </w:pPr>
            <w:r w:rsidRPr="003D565A">
              <w:t> </w:t>
            </w:r>
          </w:p>
        </w:tc>
        <w:tc>
          <w:tcPr>
            <w:tcW w:w="1134" w:type="dxa"/>
            <w:tcBorders>
              <w:top w:val="single" w:sz="8" w:space="0" w:color="009FE4"/>
            </w:tcBorders>
            <w:noWrap/>
            <w:vAlign w:val="bottom"/>
          </w:tcPr>
          <w:p w14:paraId="7ECFB8E6" w14:textId="77777777" w:rsidR="001F25B2" w:rsidRPr="003D565A" w:rsidRDefault="001F25B2" w:rsidP="004F297A">
            <w:pPr>
              <w:pStyle w:val="TDummy"/>
              <w:keepNext/>
            </w:pPr>
            <w:r w:rsidRPr="003D565A">
              <w:t> </w:t>
            </w:r>
          </w:p>
        </w:tc>
        <w:tc>
          <w:tcPr>
            <w:tcW w:w="1134" w:type="dxa"/>
            <w:tcBorders>
              <w:top w:val="single" w:sz="8" w:space="0" w:color="009FE4"/>
            </w:tcBorders>
            <w:noWrap/>
            <w:vAlign w:val="bottom"/>
          </w:tcPr>
          <w:p w14:paraId="01F547BE" w14:textId="77777777" w:rsidR="001F25B2" w:rsidRPr="003D565A" w:rsidRDefault="001F25B2" w:rsidP="004F297A">
            <w:pPr>
              <w:pStyle w:val="TDummy"/>
              <w:keepNext/>
            </w:pPr>
            <w:r w:rsidRPr="003D565A">
              <w:t> </w:t>
            </w:r>
          </w:p>
        </w:tc>
        <w:tc>
          <w:tcPr>
            <w:tcW w:w="1134" w:type="dxa"/>
            <w:tcBorders>
              <w:top w:val="single" w:sz="8" w:space="0" w:color="009FE4"/>
            </w:tcBorders>
            <w:noWrap/>
            <w:vAlign w:val="bottom"/>
          </w:tcPr>
          <w:p w14:paraId="39CE04FD" w14:textId="77777777" w:rsidR="001F25B2" w:rsidRPr="003D565A" w:rsidRDefault="001F25B2" w:rsidP="004F297A">
            <w:pPr>
              <w:pStyle w:val="TDummy"/>
              <w:keepNext/>
            </w:pPr>
            <w:r w:rsidRPr="003D565A">
              <w:t> </w:t>
            </w:r>
          </w:p>
        </w:tc>
        <w:tc>
          <w:tcPr>
            <w:tcW w:w="1134" w:type="dxa"/>
            <w:tcBorders>
              <w:top w:val="single" w:sz="8" w:space="0" w:color="009FE4"/>
            </w:tcBorders>
            <w:noWrap/>
            <w:vAlign w:val="bottom"/>
          </w:tcPr>
          <w:p w14:paraId="2FA223E6" w14:textId="77777777" w:rsidR="001F25B2" w:rsidRPr="003D565A" w:rsidRDefault="001F25B2" w:rsidP="004F297A">
            <w:pPr>
              <w:pStyle w:val="TDummy"/>
              <w:keepNext/>
            </w:pPr>
            <w:r w:rsidRPr="003D565A">
              <w:t> </w:t>
            </w:r>
          </w:p>
        </w:tc>
        <w:tc>
          <w:tcPr>
            <w:tcW w:w="1134" w:type="dxa"/>
            <w:tcBorders>
              <w:top w:val="single" w:sz="8" w:space="0" w:color="009FE4"/>
            </w:tcBorders>
            <w:noWrap/>
            <w:vAlign w:val="bottom"/>
          </w:tcPr>
          <w:p w14:paraId="7A47EBB1" w14:textId="77777777" w:rsidR="001F25B2" w:rsidRPr="003D565A" w:rsidRDefault="001F25B2" w:rsidP="004F297A">
            <w:pPr>
              <w:pStyle w:val="TDummy"/>
              <w:keepNext/>
            </w:pPr>
            <w:r w:rsidRPr="003D565A">
              <w:t> </w:t>
            </w:r>
          </w:p>
        </w:tc>
      </w:tr>
      <w:tr w:rsidR="001F25B2" w:rsidRPr="003D565A" w14:paraId="729628E8" w14:textId="77777777" w:rsidTr="001F25B2">
        <w:trPr>
          <w:tblHeader/>
        </w:trPr>
        <w:tc>
          <w:tcPr>
            <w:tcW w:w="3402" w:type="dxa"/>
            <w:tcBorders>
              <w:right w:val="single" w:sz="24" w:space="0" w:color="FFFFFF"/>
            </w:tcBorders>
            <w:noWrap/>
            <w:vAlign w:val="center"/>
          </w:tcPr>
          <w:p w14:paraId="47984920" w14:textId="77777777" w:rsidR="001F25B2" w:rsidRPr="003D565A" w:rsidRDefault="001F25B2" w:rsidP="004F297A">
            <w:pPr>
              <w:pStyle w:val="Tfirsttext"/>
              <w:keepNext/>
            </w:pPr>
            <w:bookmarkStart w:id="4" w:name="RANGE!B7:J7"/>
            <w:bookmarkStart w:id="5" w:name="RANGE!B7"/>
            <w:bookmarkEnd w:id="4"/>
            <w:r w:rsidRPr="003D565A">
              <w:t> </w:t>
            </w:r>
            <w:bookmarkEnd w:id="5"/>
          </w:p>
        </w:tc>
        <w:tc>
          <w:tcPr>
            <w:tcW w:w="1134" w:type="dxa"/>
            <w:tcBorders>
              <w:left w:val="single" w:sz="24" w:space="0" w:color="FFFFFF"/>
              <w:bottom w:val="single" w:sz="2" w:space="0" w:color="000000"/>
              <w:right w:val="single" w:sz="24" w:space="0" w:color="FFFFFF"/>
            </w:tcBorders>
            <w:vAlign w:val="bottom"/>
          </w:tcPr>
          <w:p w14:paraId="383A2FC9" w14:textId="77777777" w:rsidR="001F25B2" w:rsidRPr="003D565A" w:rsidRDefault="001F25B2" w:rsidP="004F297A">
            <w:pPr>
              <w:pStyle w:val="Tfirstnumber"/>
              <w:keepNext/>
            </w:pPr>
            <w:r w:rsidRPr="003D565A">
              <w:t>4. Quartal 2019</w:t>
            </w:r>
          </w:p>
        </w:tc>
        <w:tc>
          <w:tcPr>
            <w:tcW w:w="1134" w:type="dxa"/>
            <w:tcBorders>
              <w:left w:val="single" w:sz="24" w:space="0" w:color="FFFFFF"/>
              <w:bottom w:val="single" w:sz="2" w:space="0" w:color="000000"/>
              <w:right w:val="single" w:sz="24" w:space="0" w:color="FFFFFF"/>
            </w:tcBorders>
            <w:shd w:val="clear" w:color="000000" w:fill="D9F1FB"/>
            <w:noWrap/>
            <w:vAlign w:val="bottom"/>
          </w:tcPr>
          <w:p w14:paraId="2B47FFB9" w14:textId="77777777" w:rsidR="001F25B2" w:rsidRPr="003D565A" w:rsidRDefault="001F25B2" w:rsidP="004F297A">
            <w:pPr>
              <w:pStyle w:val="Tfirstnumber"/>
              <w:keepNext/>
            </w:pPr>
            <w:bookmarkStart w:id="6" w:name="RANGE!D7:D65"/>
            <w:r w:rsidRPr="003D565A">
              <w:t>4. Quartal 2020</w:t>
            </w:r>
            <w:bookmarkEnd w:id="6"/>
          </w:p>
        </w:tc>
        <w:tc>
          <w:tcPr>
            <w:tcW w:w="1134" w:type="dxa"/>
            <w:tcBorders>
              <w:left w:val="single" w:sz="24" w:space="0" w:color="FFFFFF"/>
              <w:bottom w:val="single" w:sz="2" w:space="0" w:color="000000"/>
              <w:right w:val="single" w:sz="24" w:space="0" w:color="FFFFFF"/>
            </w:tcBorders>
            <w:vAlign w:val="bottom"/>
          </w:tcPr>
          <w:p w14:paraId="042A1D8C" w14:textId="77777777" w:rsidR="001F25B2" w:rsidRPr="003D565A" w:rsidRDefault="001F25B2" w:rsidP="004F297A">
            <w:pPr>
              <w:pStyle w:val="Tfirstnumber"/>
              <w:keepNext/>
            </w:pPr>
            <w:proofErr w:type="spellStart"/>
            <w:r w:rsidRPr="003D565A">
              <w:t>Veränderung</w:t>
            </w:r>
            <w:proofErr w:type="spellEnd"/>
          </w:p>
        </w:tc>
        <w:tc>
          <w:tcPr>
            <w:tcW w:w="1134" w:type="dxa"/>
            <w:tcBorders>
              <w:left w:val="single" w:sz="24" w:space="0" w:color="FFFFFF"/>
              <w:bottom w:val="single" w:sz="2" w:space="0" w:color="000000"/>
              <w:right w:val="single" w:sz="24" w:space="0" w:color="FFFFFF"/>
            </w:tcBorders>
            <w:vAlign w:val="bottom"/>
          </w:tcPr>
          <w:p w14:paraId="5EBC4652" w14:textId="77777777" w:rsidR="001F25B2" w:rsidRPr="003D565A" w:rsidRDefault="001F25B2" w:rsidP="004F297A">
            <w:pPr>
              <w:pStyle w:val="Tfirstnumber"/>
              <w:keepNext/>
            </w:pPr>
            <w:proofErr w:type="spellStart"/>
            <w:r w:rsidRPr="003D565A">
              <w:t>Gesamtjahr</w:t>
            </w:r>
            <w:proofErr w:type="spellEnd"/>
            <w:r w:rsidRPr="003D565A">
              <w:t xml:space="preserve"> 2019</w:t>
            </w:r>
          </w:p>
        </w:tc>
        <w:tc>
          <w:tcPr>
            <w:tcW w:w="1134" w:type="dxa"/>
            <w:tcBorders>
              <w:left w:val="single" w:sz="24" w:space="0" w:color="FFFFFF"/>
              <w:bottom w:val="single" w:sz="2" w:space="0" w:color="000000"/>
              <w:right w:val="single" w:sz="24" w:space="0" w:color="FFFFFF"/>
            </w:tcBorders>
            <w:shd w:val="clear" w:color="000000" w:fill="D9F1FB"/>
            <w:vAlign w:val="bottom"/>
          </w:tcPr>
          <w:p w14:paraId="77E2960C" w14:textId="77777777" w:rsidR="001F25B2" w:rsidRPr="003D565A" w:rsidRDefault="001F25B2" w:rsidP="004F297A">
            <w:pPr>
              <w:pStyle w:val="Tfirstnumber"/>
              <w:keepNext/>
            </w:pPr>
            <w:bookmarkStart w:id="7" w:name="RANGE!I7:I65"/>
            <w:proofErr w:type="spellStart"/>
            <w:r w:rsidRPr="003D565A">
              <w:t>Gesamtjahr</w:t>
            </w:r>
            <w:proofErr w:type="spellEnd"/>
            <w:r w:rsidRPr="003D565A">
              <w:t xml:space="preserve"> 2020</w:t>
            </w:r>
            <w:bookmarkEnd w:id="7"/>
          </w:p>
        </w:tc>
        <w:tc>
          <w:tcPr>
            <w:tcW w:w="1134" w:type="dxa"/>
            <w:tcBorders>
              <w:left w:val="single" w:sz="24" w:space="0" w:color="FFFFFF"/>
              <w:bottom w:val="single" w:sz="2" w:space="0" w:color="000000"/>
            </w:tcBorders>
            <w:vAlign w:val="bottom"/>
          </w:tcPr>
          <w:p w14:paraId="4AA33788" w14:textId="77777777" w:rsidR="001F25B2" w:rsidRPr="003D565A" w:rsidRDefault="001F25B2" w:rsidP="004F297A">
            <w:pPr>
              <w:pStyle w:val="Tfirstnumber"/>
              <w:keepNext/>
            </w:pPr>
            <w:proofErr w:type="spellStart"/>
            <w:r w:rsidRPr="003D565A">
              <w:t>Veränderung</w:t>
            </w:r>
            <w:proofErr w:type="spellEnd"/>
          </w:p>
        </w:tc>
      </w:tr>
      <w:tr w:rsidR="001F25B2" w:rsidRPr="003D565A" w14:paraId="48974208" w14:textId="77777777" w:rsidTr="001F25B2">
        <w:trPr>
          <w:tblHeader/>
        </w:trPr>
        <w:tc>
          <w:tcPr>
            <w:tcW w:w="3402" w:type="dxa"/>
            <w:tcBorders>
              <w:bottom w:val="single" w:sz="2" w:space="0" w:color="000000"/>
              <w:right w:val="single" w:sz="24" w:space="0" w:color="FFFFFF"/>
            </w:tcBorders>
            <w:noWrap/>
            <w:vAlign w:val="center"/>
          </w:tcPr>
          <w:p w14:paraId="05AC3795" w14:textId="77777777" w:rsidR="001F25B2" w:rsidRPr="003D565A" w:rsidRDefault="001F25B2" w:rsidP="004F297A">
            <w:pPr>
              <w:pStyle w:val="Tlasttext"/>
              <w:keepNext/>
            </w:pPr>
            <w:bookmarkStart w:id="8" w:name="RANGE!B8:J8"/>
            <w:r w:rsidRPr="003D565A">
              <w:t> </w:t>
            </w:r>
            <w:bookmarkEnd w:id="8"/>
          </w:p>
        </w:tc>
        <w:tc>
          <w:tcPr>
            <w:tcW w:w="1134" w:type="dxa"/>
            <w:tcBorders>
              <w:top w:val="single" w:sz="2" w:space="0" w:color="000000"/>
              <w:left w:val="single" w:sz="24" w:space="0" w:color="FFFFFF"/>
              <w:bottom w:val="single" w:sz="2" w:space="0" w:color="000000"/>
              <w:right w:val="single" w:sz="24" w:space="0" w:color="FFFFFF"/>
            </w:tcBorders>
            <w:vAlign w:val="center"/>
          </w:tcPr>
          <w:p w14:paraId="3ADD06CD" w14:textId="77777777" w:rsidR="001F25B2" w:rsidRPr="003D565A" w:rsidRDefault="001F25B2" w:rsidP="004F297A">
            <w:pPr>
              <w:pStyle w:val="Tlastnumber"/>
              <w:keepNext/>
            </w:pPr>
            <w:r w:rsidRPr="003D565A">
              <w:t>in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4C5ABEBD" w14:textId="77777777" w:rsidR="001F25B2" w:rsidRPr="003D565A" w:rsidRDefault="001F25B2" w:rsidP="004F297A">
            <w:pPr>
              <w:pStyle w:val="Tlastnumber"/>
              <w:keepNext/>
            </w:pPr>
            <w:r w:rsidRPr="003D565A">
              <w:t>in Mio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50543173" w14:textId="77777777" w:rsidR="001F25B2" w:rsidRPr="003D565A" w:rsidRDefault="001F25B2" w:rsidP="004F297A">
            <w:pPr>
              <w:pStyle w:val="Tlastnumber"/>
              <w:keepNext/>
            </w:pPr>
            <w:r w:rsidRPr="003D565A">
              <w:t>in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48F9EBFB" w14:textId="77777777" w:rsidR="001F25B2" w:rsidRPr="003D565A" w:rsidRDefault="001F25B2" w:rsidP="004F297A">
            <w:pPr>
              <w:pStyle w:val="Tlastnumber"/>
              <w:keepNext/>
            </w:pPr>
            <w:r w:rsidRPr="003D565A">
              <w:t>in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36DEE8E8" w14:textId="77777777" w:rsidR="001F25B2" w:rsidRPr="003D565A" w:rsidRDefault="001F25B2" w:rsidP="004F297A">
            <w:pPr>
              <w:pStyle w:val="Tlastnumber"/>
              <w:keepNext/>
            </w:pPr>
            <w:r w:rsidRPr="003D565A">
              <w:t>in Mio. €</w:t>
            </w:r>
          </w:p>
        </w:tc>
        <w:tc>
          <w:tcPr>
            <w:tcW w:w="1134" w:type="dxa"/>
            <w:tcBorders>
              <w:top w:val="single" w:sz="2" w:space="0" w:color="000000"/>
              <w:left w:val="single" w:sz="24" w:space="0" w:color="FFFFFF"/>
              <w:bottom w:val="single" w:sz="2" w:space="0" w:color="000000"/>
            </w:tcBorders>
            <w:vAlign w:val="center"/>
          </w:tcPr>
          <w:p w14:paraId="2099D543" w14:textId="77777777" w:rsidR="001F25B2" w:rsidRPr="003D565A" w:rsidRDefault="001F25B2" w:rsidP="004F297A">
            <w:pPr>
              <w:pStyle w:val="Tlastnumber"/>
              <w:keepNext/>
            </w:pPr>
            <w:r w:rsidRPr="003D565A">
              <w:t>in %</w:t>
            </w:r>
          </w:p>
        </w:tc>
      </w:tr>
      <w:tr w:rsidR="001F25B2" w:rsidRPr="003D565A" w14:paraId="26537D1F" w14:textId="77777777" w:rsidTr="001F25B2">
        <w:tc>
          <w:tcPr>
            <w:tcW w:w="3402" w:type="dxa"/>
            <w:tcBorders>
              <w:top w:val="single" w:sz="2" w:space="0" w:color="000000"/>
              <w:bottom w:val="single" w:sz="2" w:space="0" w:color="000000"/>
              <w:right w:val="single" w:sz="24" w:space="0" w:color="FFFFFF"/>
            </w:tcBorders>
            <w:shd w:val="clear" w:color="000000" w:fill="80CFF2"/>
          </w:tcPr>
          <w:p w14:paraId="6DCD0CD0" w14:textId="77777777" w:rsidR="001F25B2" w:rsidRPr="003D565A" w:rsidRDefault="001F25B2" w:rsidP="004F297A">
            <w:pPr>
              <w:pStyle w:val="Ttextbold"/>
              <w:keepNext/>
            </w:pPr>
            <w:bookmarkStart w:id="9" w:name="RANGE!B9:J9"/>
            <w:r w:rsidRPr="003D565A">
              <w:t>Covestro-</w:t>
            </w:r>
            <w:proofErr w:type="spellStart"/>
            <w:r w:rsidRPr="003D565A">
              <w:t>Konzern</w:t>
            </w:r>
            <w:bookmarkEnd w:id="9"/>
            <w:proofErr w:type="spellEnd"/>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6E717495"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1925D0F"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3708D5B3"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68FB1847"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3DF5D59"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tcBorders>
            <w:shd w:val="clear" w:color="000000" w:fill="80CFF2"/>
            <w:noWrap/>
          </w:tcPr>
          <w:p w14:paraId="2B0CD4FB" w14:textId="77777777" w:rsidR="001F25B2" w:rsidRPr="003D565A" w:rsidRDefault="001F25B2" w:rsidP="004F297A">
            <w:pPr>
              <w:pStyle w:val="Tnumberbold"/>
              <w:keepNext/>
            </w:pPr>
            <w:r w:rsidRPr="003D565A">
              <w:t> </w:t>
            </w:r>
          </w:p>
        </w:tc>
      </w:tr>
      <w:tr w:rsidR="001F25B2" w:rsidRPr="003D565A" w14:paraId="69FD9871" w14:textId="77777777" w:rsidTr="001F25B2">
        <w:tc>
          <w:tcPr>
            <w:tcW w:w="3402" w:type="dxa"/>
            <w:tcBorders>
              <w:top w:val="single" w:sz="2" w:space="0" w:color="000000"/>
              <w:bottom w:val="single" w:sz="2" w:space="0" w:color="000000"/>
              <w:right w:val="single" w:sz="24" w:space="0" w:color="FFFFFF"/>
            </w:tcBorders>
            <w:noWrap/>
          </w:tcPr>
          <w:p w14:paraId="6BF3E33A" w14:textId="77777777" w:rsidR="001F25B2" w:rsidRPr="003D565A" w:rsidRDefault="001F25B2" w:rsidP="004F297A">
            <w:pPr>
              <w:pStyle w:val="Ttext"/>
              <w:keepNext/>
            </w:pPr>
            <w:proofErr w:type="spellStart"/>
            <w:r w:rsidRPr="003D565A">
              <w:t>Mengenwachstum</w:t>
            </w:r>
            <w:proofErr w:type="spellEnd"/>
            <w:r w:rsidRPr="003D565A">
              <w:t xml:space="preserve"> </w:t>
            </w:r>
            <w:proofErr w:type="spellStart"/>
            <w:r w:rsidRPr="003D565A">
              <w:t>im</w:t>
            </w:r>
            <w:proofErr w:type="spellEnd"/>
            <w:r w:rsidRPr="003D565A">
              <w:t xml:space="preserve"> </w:t>
            </w:r>
            <w:proofErr w:type="spellStart"/>
            <w:r w:rsidRPr="003D565A">
              <w:t>Kerngeschäft</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06612787" w14:textId="77777777" w:rsidR="001F25B2" w:rsidRPr="003D565A" w:rsidRDefault="001F25B2" w:rsidP="004F297A">
            <w:pPr>
              <w:pStyle w:val="Tnumber"/>
              <w:keepNext/>
            </w:pPr>
            <w:r w:rsidRPr="003D565A">
              <w:t>3,8 %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8361878" w14:textId="77777777" w:rsidR="001F25B2" w:rsidRPr="003D565A" w:rsidRDefault="001F25B2" w:rsidP="004F297A">
            <w:pPr>
              <w:pStyle w:val="Tnumber"/>
              <w:keepNext/>
            </w:pPr>
            <w:r w:rsidRPr="003D565A">
              <w:t>1,7 %</w:t>
            </w:r>
          </w:p>
        </w:tc>
        <w:tc>
          <w:tcPr>
            <w:tcW w:w="1134" w:type="dxa"/>
            <w:tcBorders>
              <w:top w:val="single" w:sz="2" w:space="0" w:color="000000"/>
              <w:left w:val="single" w:sz="24" w:space="0" w:color="FFFFFF"/>
              <w:bottom w:val="single" w:sz="2" w:space="0" w:color="000000"/>
              <w:right w:val="single" w:sz="24" w:space="0" w:color="FFFFFF"/>
            </w:tcBorders>
            <w:noWrap/>
          </w:tcPr>
          <w:p w14:paraId="2E5596CD"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2486FCD5" w14:textId="77777777" w:rsidR="001F25B2" w:rsidRPr="003D565A" w:rsidRDefault="001F25B2" w:rsidP="004F297A">
            <w:pPr>
              <w:pStyle w:val="Tnumber"/>
              <w:keepNext/>
            </w:pPr>
            <w:r w:rsidRPr="003D565A">
              <w:t>2,0 %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99E405B" w14:textId="77777777" w:rsidR="001F25B2" w:rsidRPr="003D565A" w:rsidRDefault="001F25B2" w:rsidP="004F297A">
            <w:pPr>
              <w:pStyle w:val="Tnumber"/>
              <w:keepNext/>
            </w:pPr>
            <w:r w:rsidRPr="003D565A">
              <w:t>– 5,6 %</w:t>
            </w:r>
          </w:p>
        </w:tc>
        <w:tc>
          <w:tcPr>
            <w:tcW w:w="1134" w:type="dxa"/>
            <w:tcBorders>
              <w:top w:val="single" w:sz="2" w:space="0" w:color="000000"/>
              <w:left w:val="single" w:sz="24" w:space="0" w:color="FFFFFF"/>
              <w:bottom w:val="single" w:sz="2" w:space="0" w:color="000000"/>
            </w:tcBorders>
            <w:noWrap/>
          </w:tcPr>
          <w:p w14:paraId="7717E01C" w14:textId="77777777" w:rsidR="001F25B2" w:rsidRPr="003D565A" w:rsidRDefault="001F25B2" w:rsidP="004F297A">
            <w:pPr>
              <w:pStyle w:val="Tnumber"/>
              <w:keepNext/>
            </w:pPr>
            <w:r w:rsidRPr="003D565A">
              <w:t> </w:t>
            </w:r>
          </w:p>
        </w:tc>
      </w:tr>
      <w:tr w:rsidR="001F25B2" w:rsidRPr="003D565A" w14:paraId="42CF482A" w14:textId="77777777" w:rsidTr="001F25B2">
        <w:tc>
          <w:tcPr>
            <w:tcW w:w="3402" w:type="dxa"/>
            <w:tcBorders>
              <w:top w:val="single" w:sz="2" w:space="0" w:color="000000"/>
              <w:bottom w:val="single" w:sz="2" w:space="0" w:color="000000"/>
              <w:right w:val="single" w:sz="24" w:space="0" w:color="FFFFFF"/>
            </w:tcBorders>
            <w:noWrap/>
          </w:tcPr>
          <w:p w14:paraId="40CE1412" w14:textId="77777777" w:rsidR="001F25B2" w:rsidRPr="003D565A" w:rsidRDefault="001F25B2" w:rsidP="004F297A">
            <w:pPr>
              <w:pStyle w:val="Ttext"/>
              <w:keepNext/>
            </w:pPr>
            <w:proofErr w:type="spellStart"/>
            <w:r w:rsidRPr="003D565A">
              <w:t>Umsatzerlöse</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3CE4DB65" w14:textId="77777777" w:rsidR="001F25B2" w:rsidRPr="003D565A" w:rsidRDefault="001F25B2" w:rsidP="004F297A">
            <w:pPr>
              <w:pStyle w:val="Tnumber"/>
              <w:keepNext/>
            </w:pPr>
            <w:r w:rsidRPr="003D565A">
              <w:t>2.864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2C177E6" w14:textId="77777777" w:rsidR="001F25B2" w:rsidRPr="003D565A" w:rsidRDefault="001F25B2" w:rsidP="004F297A">
            <w:pPr>
              <w:pStyle w:val="Tnumber"/>
              <w:keepNext/>
            </w:pPr>
            <w:r w:rsidRPr="003D565A">
              <w:t>3.007</w:t>
            </w:r>
          </w:p>
        </w:tc>
        <w:tc>
          <w:tcPr>
            <w:tcW w:w="1134" w:type="dxa"/>
            <w:tcBorders>
              <w:top w:val="single" w:sz="2" w:space="0" w:color="000000"/>
              <w:left w:val="single" w:sz="24" w:space="0" w:color="FFFFFF"/>
              <w:bottom w:val="single" w:sz="2" w:space="0" w:color="000000"/>
              <w:right w:val="single" w:sz="24" w:space="0" w:color="FFFFFF"/>
            </w:tcBorders>
            <w:noWrap/>
          </w:tcPr>
          <w:p w14:paraId="432193F6" w14:textId="77777777" w:rsidR="001F25B2" w:rsidRPr="003D565A" w:rsidRDefault="001F25B2" w:rsidP="004F297A">
            <w:pPr>
              <w:pStyle w:val="Tnumber"/>
              <w:keepNext/>
            </w:pPr>
            <w:r w:rsidRPr="003D565A">
              <w:t>5,0</w:t>
            </w:r>
          </w:p>
        </w:tc>
        <w:tc>
          <w:tcPr>
            <w:tcW w:w="1134" w:type="dxa"/>
            <w:tcBorders>
              <w:top w:val="single" w:sz="2" w:space="0" w:color="000000"/>
              <w:left w:val="single" w:sz="24" w:space="0" w:color="FFFFFF"/>
              <w:bottom w:val="single" w:sz="2" w:space="0" w:color="000000"/>
              <w:right w:val="single" w:sz="24" w:space="0" w:color="FFFFFF"/>
            </w:tcBorders>
            <w:noWrap/>
          </w:tcPr>
          <w:p w14:paraId="7A36234C" w14:textId="77777777" w:rsidR="001F25B2" w:rsidRPr="003D565A" w:rsidRDefault="001F25B2" w:rsidP="004F297A">
            <w:pPr>
              <w:pStyle w:val="Tnumber"/>
              <w:keepNext/>
            </w:pPr>
            <w:r w:rsidRPr="003D565A">
              <w:t>12.412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9F52023" w14:textId="77777777" w:rsidR="001F25B2" w:rsidRPr="003D565A" w:rsidRDefault="001F25B2" w:rsidP="004F297A">
            <w:pPr>
              <w:pStyle w:val="Tnumber"/>
              <w:keepNext/>
            </w:pPr>
            <w:r w:rsidRPr="003D565A">
              <w:t>10.706</w:t>
            </w:r>
          </w:p>
        </w:tc>
        <w:tc>
          <w:tcPr>
            <w:tcW w:w="1134" w:type="dxa"/>
            <w:tcBorders>
              <w:top w:val="single" w:sz="2" w:space="0" w:color="000000"/>
              <w:left w:val="single" w:sz="24" w:space="0" w:color="FFFFFF"/>
              <w:bottom w:val="single" w:sz="2" w:space="0" w:color="000000"/>
            </w:tcBorders>
            <w:noWrap/>
          </w:tcPr>
          <w:p w14:paraId="1BDE8634" w14:textId="77777777" w:rsidR="001F25B2" w:rsidRPr="003D565A" w:rsidRDefault="001F25B2" w:rsidP="004F297A">
            <w:pPr>
              <w:pStyle w:val="Tnumber"/>
              <w:keepNext/>
            </w:pPr>
            <w:r w:rsidRPr="003D565A">
              <w:t>– 13,7</w:t>
            </w:r>
          </w:p>
        </w:tc>
      </w:tr>
      <w:tr w:rsidR="001F25B2" w:rsidRPr="003D565A" w14:paraId="63B4D9E7" w14:textId="77777777" w:rsidTr="001F25B2">
        <w:tc>
          <w:tcPr>
            <w:tcW w:w="3402" w:type="dxa"/>
            <w:tcBorders>
              <w:top w:val="single" w:sz="2" w:space="0" w:color="000000"/>
              <w:bottom w:val="single" w:sz="2" w:space="0" w:color="000000"/>
              <w:right w:val="single" w:sz="24" w:space="0" w:color="FFFFFF"/>
            </w:tcBorders>
            <w:noWrap/>
          </w:tcPr>
          <w:p w14:paraId="251053D8" w14:textId="77777777" w:rsidR="001F25B2" w:rsidRPr="003D565A" w:rsidRDefault="001F25B2" w:rsidP="004F297A">
            <w:pPr>
              <w:pStyle w:val="Ttext"/>
              <w:keepNext/>
            </w:pPr>
            <w:proofErr w:type="spellStart"/>
            <w:r w:rsidRPr="003D565A">
              <w:t>Umsatzveränderungen</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7E6D3E1C"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FF4C4AA"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2C29776A"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4DD6E630"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849A09F"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tcBorders>
            <w:noWrap/>
          </w:tcPr>
          <w:p w14:paraId="4BA3BDCA" w14:textId="77777777" w:rsidR="001F25B2" w:rsidRPr="003D565A" w:rsidRDefault="001F25B2" w:rsidP="004F297A">
            <w:pPr>
              <w:pStyle w:val="Tnumber"/>
              <w:keepNext/>
            </w:pPr>
            <w:r w:rsidRPr="003D565A">
              <w:t> </w:t>
            </w:r>
          </w:p>
        </w:tc>
      </w:tr>
      <w:tr w:rsidR="001F25B2" w:rsidRPr="003D565A" w14:paraId="2421A090" w14:textId="77777777" w:rsidTr="001F25B2">
        <w:tc>
          <w:tcPr>
            <w:tcW w:w="3402" w:type="dxa"/>
            <w:tcBorders>
              <w:top w:val="single" w:sz="2" w:space="0" w:color="000000"/>
              <w:bottom w:val="single" w:sz="2" w:space="0" w:color="000000"/>
              <w:right w:val="single" w:sz="24" w:space="0" w:color="FFFFFF"/>
            </w:tcBorders>
            <w:noWrap/>
          </w:tcPr>
          <w:p w14:paraId="2C1865DC" w14:textId="77777777" w:rsidR="001F25B2" w:rsidRPr="003D565A" w:rsidRDefault="001F25B2" w:rsidP="004F297A">
            <w:pPr>
              <w:pStyle w:val="Ttextindent1"/>
              <w:keepNext/>
            </w:pPr>
            <w:bookmarkStart w:id="10" w:name="RANGE!B13:B16"/>
            <w:proofErr w:type="spellStart"/>
            <w:r w:rsidRPr="003D565A">
              <w:t>Menge</w:t>
            </w:r>
            <w:bookmarkEnd w:id="10"/>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3F0874D3" w14:textId="77777777" w:rsidR="001F25B2" w:rsidRPr="003D565A" w:rsidRDefault="001F25B2" w:rsidP="004F297A">
            <w:pPr>
              <w:pStyle w:val="Tnumber"/>
              <w:keepNext/>
            </w:pPr>
            <w:r w:rsidRPr="003D565A">
              <w:t>– 0,7 %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2769C91" w14:textId="77777777" w:rsidR="001F25B2" w:rsidRPr="003D565A" w:rsidRDefault="001F25B2" w:rsidP="004F297A">
            <w:pPr>
              <w:pStyle w:val="Tnumber"/>
              <w:keepNext/>
            </w:pPr>
            <w:r w:rsidRPr="003D565A">
              <w:t>4,7 %</w:t>
            </w:r>
          </w:p>
        </w:tc>
        <w:tc>
          <w:tcPr>
            <w:tcW w:w="1134" w:type="dxa"/>
            <w:tcBorders>
              <w:top w:val="single" w:sz="2" w:space="0" w:color="000000"/>
              <w:left w:val="single" w:sz="24" w:space="0" w:color="FFFFFF"/>
              <w:bottom w:val="single" w:sz="2" w:space="0" w:color="000000"/>
              <w:right w:val="single" w:sz="24" w:space="0" w:color="FFFFFF"/>
            </w:tcBorders>
            <w:noWrap/>
          </w:tcPr>
          <w:p w14:paraId="5B613F51"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3CC6DBB2" w14:textId="77777777" w:rsidR="001F25B2" w:rsidRPr="003D565A" w:rsidRDefault="001F25B2" w:rsidP="004F297A">
            <w:pPr>
              <w:pStyle w:val="Tnumber"/>
              <w:keepNext/>
            </w:pPr>
            <w:r w:rsidRPr="003D565A">
              <w:t>0,8 %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3E70A44" w14:textId="77777777" w:rsidR="001F25B2" w:rsidRPr="003D565A" w:rsidRDefault="001F25B2" w:rsidP="004F297A">
            <w:pPr>
              <w:pStyle w:val="Tnumber"/>
              <w:keepNext/>
            </w:pPr>
            <w:r w:rsidRPr="003D565A">
              <w:t>– 5,1 %</w:t>
            </w:r>
          </w:p>
        </w:tc>
        <w:tc>
          <w:tcPr>
            <w:tcW w:w="1134" w:type="dxa"/>
            <w:tcBorders>
              <w:top w:val="single" w:sz="2" w:space="0" w:color="000000"/>
              <w:left w:val="single" w:sz="24" w:space="0" w:color="FFFFFF"/>
              <w:bottom w:val="single" w:sz="2" w:space="0" w:color="000000"/>
            </w:tcBorders>
            <w:noWrap/>
          </w:tcPr>
          <w:p w14:paraId="41819AEF" w14:textId="77777777" w:rsidR="001F25B2" w:rsidRPr="003D565A" w:rsidRDefault="001F25B2" w:rsidP="004F297A">
            <w:pPr>
              <w:pStyle w:val="Tnumber"/>
              <w:keepNext/>
            </w:pPr>
            <w:r w:rsidRPr="003D565A">
              <w:t> </w:t>
            </w:r>
          </w:p>
        </w:tc>
      </w:tr>
      <w:tr w:rsidR="001F25B2" w:rsidRPr="003D565A" w14:paraId="035668D4" w14:textId="77777777" w:rsidTr="001F25B2">
        <w:tc>
          <w:tcPr>
            <w:tcW w:w="3402" w:type="dxa"/>
            <w:tcBorders>
              <w:top w:val="single" w:sz="2" w:space="0" w:color="000000"/>
              <w:bottom w:val="single" w:sz="2" w:space="0" w:color="000000"/>
              <w:right w:val="single" w:sz="24" w:space="0" w:color="FFFFFF"/>
            </w:tcBorders>
            <w:noWrap/>
          </w:tcPr>
          <w:p w14:paraId="391970B5" w14:textId="77777777" w:rsidR="001F25B2" w:rsidRPr="003D565A" w:rsidRDefault="001F25B2" w:rsidP="004F297A">
            <w:pPr>
              <w:pStyle w:val="Ttextindent1"/>
              <w:keepNext/>
            </w:pPr>
            <w:proofErr w:type="spellStart"/>
            <w:r w:rsidRPr="003D565A">
              <w:t>Preis</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200592AB" w14:textId="77777777" w:rsidR="001F25B2" w:rsidRPr="003D565A" w:rsidRDefault="001F25B2" w:rsidP="004F297A">
            <w:pPr>
              <w:pStyle w:val="Tnumber"/>
              <w:keepNext/>
            </w:pPr>
            <w:r w:rsidRPr="003D565A">
              <w:t>– 13,3 %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0D86578" w14:textId="77777777" w:rsidR="001F25B2" w:rsidRPr="003D565A" w:rsidRDefault="001F25B2" w:rsidP="004F297A">
            <w:pPr>
              <w:pStyle w:val="Tnumber"/>
              <w:keepNext/>
            </w:pPr>
            <w:r w:rsidRPr="003D565A">
              <w:t>5,4 %</w:t>
            </w:r>
          </w:p>
        </w:tc>
        <w:tc>
          <w:tcPr>
            <w:tcW w:w="1134" w:type="dxa"/>
            <w:tcBorders>
              <w:top w:val="single" w:sz="2" w:space="0" w:color="000000"/>
              <w:left w:val="single" w:sz="24" w:space="0" w:color="FFFFFF"/>
              <w:bottom w:val="single" w:sz="2" w:space="0" w:color="000000"/>
              <w:right w:val="single" w:sz="24" w:space="0" w:color="FFFFFF"/>
            </w:tcBorders>
            <w:noWrap/>
          </w:tcPr>
          <w:p w14:paraId="58B95AAC"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59D86D85" w14:textId="77777777" w:rsidR="001F25B2" w:rsidRPr="003D565A" w:rsidRDefault="001F25B2" w:rsidP="004F297A">
            <w:pPr>
              <w:pStyle w:val="Tnumber"/>
              <w:keepNext/>
            </w:pPr>
            <w:r w:rsidRPr="003D565A">
              <w:t>– 17,3 %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EEE7CE1" w14:textId="77777777" w:rsidR="001F25B2" w:rsidRPr="003D565A" w:rsidRDefault="001F25B2" w:rsidP="004F297A">
            <w:pPr>
              <w:pStyle w:val="Tnumber"/>
              <w:keepNext/>
            </w:pPr>
            <w:r w:rsidRPr="003D565A">
              <w:t>– 5,7 %</w:t>
            </w:r>
          </w:p>
        </w:tc>
        <w:tc>
          <w:tcPr>
            <w:tcW w:w="1134" w:type="dxa"/>
            <w:tcBorders>
              <w:top w:val="single" w:sz="2" w:space="0" w:color="000000"/>
              <w:left w:val="single" w:sz="24" w:space="0" w:color="FFFFFF"/>
              <w:bottom w:val="single" w:sz="2" w:space="0" w:color="000000"/>
            </w:tcBorders>
            <w:noWrap/>
          </w:tcPr>
          <w:p w14:paraId="7E399D59" w14:textId="77777777" w:rsidR="001F25B2" w:rsidRPr="003D565A" w:rsidRDefault="001F25B2" w:rsidP="004F297A">
            <w:pPr>
              <w:pStyle w:val="Tnumber"/>
              <w:keepNext/>
            </w:pPr>
            <w:r w:rsidRPr="003D565A">
              <w:t> </w:t>
            </w:r>
          </w:p>
        </w:tc>
      </w:tr>
      <w:tr w:rsidR="001F25B2" w:rsidRPr="003D565A" w14:paraId="4DA86D70" w14:textId="77777777" w:rsidTr="001F25B2">
        <w:tc>
          <w:tcPr>
            <w:tcW w:w="3402" w:type="dxa"/>
            <w:tcBorders>
              <w:top w:val="single" w:sz="2" w:space="0" w:color="000000"/>
              <w:bottom w:val="single" w:sz="2" w:space="0" w:color="000000"/>
              <w:right w:val="single" w:sz="24" w:space="0" w:color="FFFFFF"/>
            </w:tcBorders>
            <w:noWrap/>
          </w:tcPr>
          <w:p w14:paraId="25004C7B" w14:textId="77777777" w:rsidR="001F25B2" w:rsidRPr="003D565A" w:rsidRDefault="001F25B2" w:rsidP="004F297A">
            <w:pPr>
              <w:pStyle w:val="Ttextindent1"/>
              <w:keepNext/>
            </w:pPr>
            <w:proofErr w:type="spellStart"/>
            <w:r w:rsidRPr="003D565A">
              <w:t>Währung</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1782DEC2" w14:textId="77777777" w:rsidR="001F25B2" w:rsidRPr="003D565A" w:rsidRDefault="001F25B2" w:rsidP="004F297A">
            <w:pPr>
              <w:pStyle w:val="Tnumber"/>
              <w:keepNext/>
            </w:pPr>
            <w:r w:rsidRPr="003D565A">
              <w:t>1,5 %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2A86450" w14:textId="77777777" w:rsidR="001F25B2" w:rsidRPr="003D565A" w:rsidRDefault="001F25B2" w:rsidP="004F297A">
            <w:pPr>
              <w:pStyle w:val="Tnumber"/>
              <w:keepNext/>
            </w:pPr>
            <w:r w:rsidRPr="003D565A">
              <w:t>– 4,0 %</w:t>
            </w:r>
          </w:p>
        </w:tc>
        <w:tc>
          <w:tcPr>
            <w:tcW w:w="1134" w:type="dxa"/>
            <w:tcBorders>
              <w:top w:val="single" w:sz="2" w:space="0" w:color="000000"/>
              <w:left w:val="single" w:sz="24" w:space="0" w:color="FFFFFF"/>
              <w:bottom w:val="single" w:sz="2" w:space="0" w:color="000000"/>
              <w:right w:val="single" w:sz="24" w:space="0" w:color="FFFFFF"/>
            </w:tcBorders>
            <w:noWrap/>
          </w:tcPr>
          <w:p w14:paraId="611D0E81"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32C2429B" w14:textId="77777777" w:rsidR="001F25B2" w:rsidRPr="003D565A" w:rsidRDefault="001F25B2" w:rsidP="004F297A">
            <w:pPr>
              <w:pStyle w:val="Tnumber"/>
              <w:keepNext/>
            </w:pPr>
            <w:r w:rsidRPr="003D565A">
              <w:t>1,9 %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18202AF" w14:textId="77777777" w:rsidR="001F25B2" w:rsidRPr="003D565A" w:rsidRDefault="001F25B2" w:rsidP="004F297A">
            <w:pPr>
              <w:pStyle w:val="Tnumber"/>
              <w:keepNext/>
            </w:pPr>
            <w:r w:rsidRPr="003D565A">
              <w:t>– 1,6 %</w:t>
            </w:r>
          </w:p>
        </w:tc>
        <w:tc>
          <w:tcPr>
            <w:tcW w:w="1134" w:type="dxa"/>
            <w:tcBorders>
              <w:top w:val="single" w:sz="2" w:space="0" w:color="000000"/>
              <w:left w:val="single" w:sz="24" w:space="0" w:color="FFFFFF"/>
              <w:bottom w:val="single" w:sz="2" w:space="0" w:color="000000"/>
            </w:tcBorders>
            <w:noWrap/>
          </w:tcPr>
          <w:p w14:paraId="53ADCD43" w14:textId="77777777" w:rsidR="001F25B2" w:rsidRPr="003D565A" w:rsidRDefault="001F25B2" w:rsidP="004F297A">
            <w:pPr>
              <w:pStyle w:val="Tnumber"/>
              <w:keepNext/>
            </w:pPr>
            <w:r w:rsidRPr="003D565A">
              <w:t> </w:t>
            </w:r>
          </w:p>
        </w:tc>
      </w:tr>
      <w:tr w:rsidR="001F25B2" w:rsidRPr="003D565A" w14:paraId="50F4AE98" w14:textId="77777777" w:rsidTr="001F25B2">
        <w:tc>
          <w:tcPr>
            <w:tcW w:w="3402" w:type="dxa"/>
            <w:tcBorders>
              <w:top w:val="single" w:sz="2" w:space="0" w:color="000000"/>
              <w:bottom w:val="single" w:sz="2" w:space="0" w:color="000000"/>
              <w:right w:val="single" w:sz="24" w:space="0" w:color="FFFFFF"/>
            </w:tcBorders>
            <w:noWrap/>
          </w:tcPr>
          <w:p w14:paraId="517B4351" w14:textId="77777777" w:rsidR="001F25B2" w:rsidRPr="003D565A" w:rsidRDefault="001F25B2" w:rsidP="004F297A">
            <w:pPr>
              <w:pStyle w:val="Ttextindent1"/>
              <w:keepNext/>
            </w:pPr>
            <w:r w:rsidRPr="003D565A">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00D26E45" w14:textId="77777777" w:rsidR="001F25B2" w:rsidRPr="003D565A" w:rsidRDefault="001F25B2" w:rsidP="004F297A">
            <w:pPr>
              <w:pStyle w:val="Tnumber"/>
              <w:keepNext/>
            </w:pPr>
            <w:r w:rsidRPr="003D565A">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3DCF980" w14:textId="77777777" w:rsidR="001F25B2" w:rsidRPr="003D565A" w:rsidRDefault="001F25B2" w:rsidP="004F297A">
            <w:pPr>
              <w:pStyle w:val="Tnumber"/>
              <w:keepNext/>
            </w:pPr>
            <w:r w:rsidRPr="003D565A">
              <w:t>– 1,1 %</w:t>
            </w:r>
          </w:p>
        </w:tc>
        <w:tc>
          <w:tcPr>
            <w:tcW w:w="1134" w:type="dxa"/>
            <w:tcBorders>
              <w:top w:val="single" w:sz="2" w:space="0" w:color="000000"/>
              <w:left w:val="single" w:sz="24" w:space="0" w:color="FFFFFF"/>
              <w:bottom w:val="single" w:sz="2" w:space="0" w:color="000000"/>
              <w:right w:val="single" w:sz="24" w:space="0" w:color="FFFFFF"/>
            </w:tcBorders>
            <w:noWrap/>
          </w:tcPr>
          <w:p w14:paraId="6F5C7253"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489AC2CA" w14:textId="77777777" w:rsidR="001F25B2" w:rsidRPr="003D565A" w:rsidRDefault="001F25B2" w:rsidP="004F297A">
            <w:pPr>
              <w:pStyle w:val="Tnumber"/>
              <w:keepNext/>
            </w:pPr>
            <w:r w:rsidRPr="003D565A">
              <w:t>– 0,5 %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42F9F83" w14:textId="77777777" w:rsidR="001F25B2" w:rsidRPr="003D565A" w:rsidRDefault="001F25B2" w:rsidP="004F297A">
            <w:pPr>
              <w:pStyle w:val="Tnumber"/>
              <w:keepNext/>
            </w:pPr>
            <w:r w:rsidRPr="003D565A">
              <w:t>– 1,3 %</w:t>
            </w:r>
          </w:p>
        </w:tc>
        <w:tc>
          <w:tcPr>
            <w:tcW w:w="1134" w:type="dxa"/>
            <w:tcBorders>
              <w:top w:val="single" w:sz="2" w:space="0" w:color="000000"/>
              <w:left w:val="single" w:sz="24" w:space="0" w:color="FFFFFF"/>
              <w:bottom w:val="single" w:sz="2" w:space="0" w:color="000000"/>
            </w:tcBorders>
            <w:noWrap/>
          </w:tcPr>
          <w:p w14:paraId="62076684" w14:textId="77777777" w:rsidR="001F25B2" w:rsidRPr="003D565A" w:rsidRDefault="001F25B2" w:rsidP="004F297A">
            <w:pPr>
              <w:pStyle w:val="Tnumber"/>
              <w:keepNext/>
            </w:pPr>
            <w:r w:rsidRPr="003D565A">
              <w:t> </w:t>
            </w:r>
          </w:p>
        </w:tc>
      </w:tr>
      <w:tr w:rsidR="001F25B2" w:rsidRPr="003D565A" w14:paraId="790549CA" w14:textId="77777777" w:rsidTr="001F25B2">
        <w:tc>
          <w:tcPr>
            <w:tcW w:w="3402" w:type="dxa"/>
            <w:tcBorders>
              <w:top w:val="single" w:sz="2" w:space="0" w:color="000000"/>
              <w:bottom w:val="single" w:sz="2" w:space="0" w:color="000000"/>
              <w:right w:val="single" w:sz="24" w:space="0" w:color="FFFFFF"/>
            </w:tcBorders>
            <w:noWrap/>
          </w:tcPr>
          <w:p w14:paraId="55DAD27C" w14:textId="77777777" w:rsidR="001F25B2" w:rsidRPr="003D565A" w:rsidRDefault="001F25B2" w:rsidP="004F297A">
            <w:pPr>
              <w:pStyle w:val="Ttext"/>
              <w:keepNext/>
            </w:pPr>
            <w:r w:rsidRPr="003D565A">
              <w:t>EBITDA</w:t>
            </w:r>
          </w:p>
        </w:tc>
        <w:tc>
          <w:tcPr>
            <w:tcW w:w="1134" w:type="dxa"/>
            <w:tcBorders>
              <w:top w:val="single" w:sz="2" w:space="0" w:color="000000"/>
              <w:left w:val="single" w:sz="24" w:space="0" w:color="FFFFFF"/>
              <w:bottom w:val="single" w:sz="2" w:space="0" w:color="000000"/>
              <w:right w:val="single" w:sz="24" w:space="0" w:color="FFFFFF"/>
            </w:tcBorders>
            <w:noWrap/>
          </w:tcPr>
          <w:p w14:paraId="46C9D403" w14:textId="77777777" w:rsidR="001F25B2" w:rsidRPr="003D565A" w:rsidRDefault="001F25B2" w:rsidP="004F297A">
            <w:pPr>
              <w:pStyle w:val="Tnumber"/>
              <w:keepNext/>
            </w:pPr>
            <w:r w:rsidRPr="003D565A">
              <w:t>278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7D73F52" w14:textId="77777777" w:rsidR="001F25B2" w:rsidRPr="003D565A" w:rsidRDefault="001F25B2" w:rsidP="004F297A">
            <w:pPr>
              <w:pStyle w:val="Tnumber"/>
              <w:keepNext/>
            </w:pPr>
            <w:r w:rsidRPr="003D565A">
              <w:t>637</w:t>
            </w:r>
          </w:p>
        </w:tc>
        <w:tc>
          <w:tcPr>
            <w:tcW w:w="1134" w:type="dxa"/>
            <w:tcBorders>
              <w:top w:val="single" w:sz="2" w:space="0" w:color="000000"/>
              <w:left w:val="single" w:sz="24" w:space="0" w:color="FFFFFF"/>
              <w:bottom w:val="single" w:sz="2" w:space="0" w:color="000000"/>
              <w:right w:val="single" w:sz="24" w:space="0" w:color="FFFFFF"/>
            </w:tcBorders>
            <w:noWrap/>
          </w:tcPr>
          <w:p w14:paraId="27A50A87" w14:textId="77777777" w:rsidR="001F25B2" w:rsidRPr="003D565A" w:rsidRDefault="001F25B2" w:rsidP="004F297A">
            <w:pPr>
              <w:pStyle w:val="Tnumber"/>
              <w:keepNext/>
            </w:pPr>
            <w:r w:rsidRPr="003D565A">
              <w:t>&gt;100</w:t>
            </w:r>
          </w:p>
        </w:tc>
        <w:tc>
          <w:tcPr>
            <w:tcW w:w="1134" w:type="dxa"/>
            <w:tcBorders>
              <w:top w:val="single" w:sz="2" w:space="0" w:color="000000"/>
              <w:left w:val="single" w:sz="24" w:space="0" w:color="FFFFFF"/>
              <w:bottom w:val="single" w:sz="2" w:space="0" w:color="000000"/>
              <w:right w:val="single" w:sz="24" w:space="0" w:color="FFFFFF"/>
            </w:tcBorders>
            <w:noWrap/>
          </w:tcPr>
          <w:p w14:paraId="01919970" w14:textId="77777777" w:rsidR="001F25B2" w:rsidRPr="003D565A" w:rsidRDefault="001F25B2" w:rsidP="004F297A">
            <w:pPr>
              <w:pStyle w:val="Tnumber"/>
              <w:keepNext/>
            </w:pPr>
            <w:r w:rsidRPr="003D565A">
              <w:t>1.604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9B82099" w14:textId="77777777" w:rsidR="001F25B2" w:rsidRPr="003D565A" w:rsidRDefault="001F25B2" w:rsidP="004F297A">
            <w:pPr>
              <w:pStyle w:val="Tnumber"/>
              <w:keepNext/>
            </w:pPr>
            <w:r w:rsidRPr="003D565A">
              <w:t>1.472</w:t>
            </w:r>
          </w:p>
        </w:tc>
        <w:tc>
          <w:tcPr>
            <w:tcW w:w="1134" w:type="dxa"/>
            <w:tcBorders>
              <w:top w:val="single" w:sz="2" w:space="0" w:color="000000"/>
              <w:left w:val="single" w:sz="24" w:space="0" w:color="FFFFFF"/>
              <w:bottom w:val="single" w:sz="2" w:space="0" w:color="000000"/>
            </w:tcBorders>
            <w:noWrap/>
          </w:tcPr>
          <w:p w14:paraId="37C76F4A" w14:textId="77777777" w:rsidR="001F25B2" w:rsidRPr="003D565A" w:rsidRDefault="001F25B2" w:rsidP="004F297A">
            <w:pPr>
              <w:pStyle w:val="Tnumber"/>
              <w:keepNext/>
            </w:pPr>
            <w:r w:rsidRPr="003D565A">
              <w:t>– 8,2</w:t>
            </w:r>
          </w:p>
        </w:tc>
      </w:tr>
      <w:tr w:rsidR="001F25B2" w:rsidRPr="003D565A" w14:paraId="1E48E98E" w14:textId="77777777" w:rsidTr="001F25B2">
        <w:tc>
          <w:tcPr>
            <w:tcW w:w="3402" w:type="dxa"/>
            <w:tcBorders>
              <w:top w:val="single" w:sz="2" w:space="0" w:color="000000"/>
              <w:bottom w:val="single" w:sz="2" w:space="0" w:color="000000"/>
              <w:right w:val="single" w:sz="24" w:space="0" w:color="FFFFFF"/>
            </w:tcBorders>
            <w:noWrap/>
          </w:tcPr>
          <w:p w14:paraId="5AECB767" w14:textId="77777777" w:rsidR="001F25B2" w:rsidRPr="003D565A" w:rsidRDefault="001F25B2" w:rsidP="004F297A">
            <w:pPr>
              <w:pStyle w:val="Ttext"/>
              <w:keepNext/>
            </w:pPr>
            <w:r w:rsidRPr="003D565A">
              <w:t>EBIT</w:t>
            </w:r>
          </w:p>
        </w:tc>
        <w:tc>
          <w:tcPr>
            <w:tcW w:w="1134" w:type="dxa"/>
            <w:tcBorders>
              <w:top w:val="single" w:sz="2" w:space="0" w:color="000000"/>
              <w:left w:val="single" w:sz="24" w:space="0" w:color="FFFFFF"/>
              <w:bottom w:val="single" w:sz="2" w:space="0" w:color="000000"/>
              <w:right w:val="single" w:sz="24" w:space="0" w:color="FFFFFF"/>
            </w:tcBorders>
            <w:noWrap/>
          </w:tcPr>
          <w:p w14:paraId="4644CF59" w14:textId="77777777" w:rsidR="001F25B2" w:rsidRPr="003D565A" w:rsidRDefault="001F25B2" w:rsidP="004F297A">
            <w:pPr>
              <w:pStyle w:val="Tnumber"/>
              <w:keepNext/>
            </w:pPr>
            <w:r w:rsidRPr="003D565A">
              <w:t>93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8D35682" w14:textId="77777777" w:rsidR="001F25B2" w:rsidRPr="003D565A" w:rsidRDefault="001F25B2" w:rsidP="004F297A">
            <w:pPr>
              <w:pStyle w:val="Tnumber"/>
              <w:keepNext/>
            </w:pPr>
            <w:r w:rsidRPr="003D565A">
              <w:t>432</w:t>
            </w:r>
          </w:p>
        </w:tc>
        <w:tc>
          <w:tcPr>
            <w:tcW w:w="1134" w:type="dxa"/>
            <w:tcBorders>
              <w:top w:val="single" w:sz="2" w:space="0" w:color="000000"/>
              <w:left w:val="single" w:sz="24" w:space="0" w:color="FFFFFF"/>
              <w:bottom w:val="single" w:sz="2" w:space="0" w:color="000000"/>
              <w:right w:val="single" w:sz="24" w:space="0" w:color="FFFFFF"/>
            </w:tcBorders>
            <w:noWrap/>
          </w:tcPr>
          <w:p w14:paraId="3EAA9683" w14:textId="77777777" w:rsidR="001F25B2" w:rsidRPr="003D565A" w:rsidRDefault="001F25B2" w:rsidP="004F297A">
            <w:pPr>
              <w:pStyle w:val="Tnumber"/>
              <w:keepNext/>
            </w:pPr>
            <w:r w:rsidRPr="003D565A">
              <w:t>&gt;300</w:t>
            </w:r>
          </w:p>
        </w:tc>
        <w:tc>
          <w:tcPr>
            <w:tcW w:w="1134" w:type="dxa"/>
            <w:tcBorders>
              <w:top w:val="single" w:sz="2" w:space="0" w:color="000000"/>
              <w:left w:val="single" w:sz="24" w:space="0" w:color="FFFFFF"/>
              <w:bottom w:val="single" w:sz="2" w:space="0" w:color="000000"/>
              <w:right w:val="single" w:sz="24" w:space="0" w:color="FFFFFF"/>
            </w:tcBorders>
            <w:noWrap/>
          </w:tcPr>
          <w:p w14:paraId="315CFEE6" w14:textId="77777777" w:rsidR="001F25B2" w:rsidRPr="003D565A" w:rsidRDefault="001F25B2" w:rsidP="004F297A">
            <w:pPr>
              <w:pStyle w:val="Tnumber"/>
              <w:keepNext/>
            </w:pPr>
            <w:r w:rsidRPr="003D565A">
              <w:t>852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7AB9931" w14:textId="77777777" w:rsidR="001F25B2" w:rsidRPr="003D565A" w:rsidRDefault="001F25B2" w:rsidP="004F297A">
            <w:pPr>
              <w:pStyle w:val="Tnumber"/>
              <w:keepNext/>
            </w:pPr>
            <w:r w:rsidRPr="003D565A">
              <w:t>696</w:t>
            </w:r>
          </w:p>
        </w:tc>
        <w:tc>
          <w:tcPr>
            <w:tcW w:w="1134" w:type="dxa"/>
            <w:tcBorders>
              <w:top w:val="single" w:sz="2" w:space="0" w:color="000000"/>
              <w:left w:val="single" w:sz="24" w:space="0" w:color="FFFFFF"/>
              <w:bottom w:val="single" w:sz="2" w:space="0" w:color="000000"/>
            </w:tcBorders>
            <w:noWrap/>
          </w:tcPr>
          <w:p w14:paraId="6D20CC42" w14:textId="77777777" w:rsidR="001F25B2" w:rsidRPr="003D565A" w:rsidRDefault="001F25B2" w:rsidP="004F297A">
            <w:pPr>
              <w:pStyle w:val="Tnumber"/>
              <w:keepNext/>
            </w:pPr>
            <w:r w:rsidRPr="003D565A">
              <w:t>– 18,3</w:t>
            </w:r>
          </w:p>
        </w:tc>
      </w:tr>
      <w:tr w:rsidR="001F25B2" w:rsidRPr="003D565A" w14:paraId="4834FE93" w14:textId="77777777" w:rsidTr="001F25B2">
        <w:tc>
          <w:tcPr>
            <w:tcW w:w="3402" w:type="dxa"/>
            <w:tcBorders>
              <w:top w:val="single" w:sz="2" w:space="0" w:color="000000"/>
              <w:bottom w:val="single" w:sz="2" w:space="0" w:color="000000"/>
              <w:right w:val="single" w:sz="24" w:space="0" w:color="FFFFFF"/>
            </w:tcBorders>
          </w:tcPr>
          <w:p w14:paraId="6E349D83" w14:textId="77777777" w:rsidR="001F25B2" w:rsidRPr="003D565A" w:rsidRDefault="001F25B2" w:rsidP="004F297A">
            <w:pPr>
              <w:pStyle w:val="Ttext"/>
              <w:keepNext/>
            </w:pPr>
            <w:proofErr w:type="spellStart"/>
            <w:r w:rsidRPr="003D565A">
              <w:t>Konzernergebnis</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738B9BE1" w14:textId="77777777" w:rsidR="001F25B2" w:rsidRPr="003D565A" w:rsidRDefault="001F25B2" w:rsidP="004F297A">
            <w:pPr>
              <w:pStyle w:val="Tnumber"/>
              <w:keepNext/>
            </w:pPr>
            <w:r w:rsidRPr="003D565A">
              <w:t>37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DE7F927" w14:textId="77777777" w:rsidR="001F25B2" w:rsidRPr="003D565A" w:rsidRDefault="001F25B2" w:rsidP="004F297A">
            <w:pPr>
              <w:pStyle w:val="Tnumber"/>
              <w:keepNext/>
            </w:pPr>
            <w:r w:rsidRPr="003D565A">
              <w:t>312</w:t>
            </w:r>
          </w:p>
        </w:tc>
        <w:tc>
          <w:tcPr>
            <w:tcW w:w="1134" w:type="dxa"/>
            <w:tcBorders>
              <w:top w:val="single" w:sz="2" w:space="0" w:color="000000"/>
              <w:left w:val="single" w:sz="24" w:space="0" w:color="FFFFFF"/>
              <w:bottom w:val="single" w:sz="2" w:space="0" w:color="000000"/>
              <w:right w:val="single" w:sz="24" w:space="0" w:color="FFFFFF"/>
            </w:tcBorders>
            <w:noWrap/>
          </w:tcPr>
          <w:p w14:paraId="574E3518" w14:textId="77777777" w:rsidR="001F25B2" w:rsidRPr="003D565A" w:rsidRDefault="001F25B2" w:rsidP="004F297A">
            <w:pPr>
              <w:pStyle w:val="Tnumber"/>
              <w:keepNext/>
            </w:pPr>
            <w:r w:rsidRPr="003D565A">
              <w:t>&gt;700</w:t>
            </w:r>
          </w:p>
        </w:tc>
        <w:tc>
          <w:tcPr>
            <w:tcW w:w="1134" w:type="dxa"/>
            <w:tcBorders>
              <w:top w:val="single" w:sz="2" w:space="0" w:color="000000"/>
              <w:left w:val="single" w:sz="24" w:space="0" w:color="FFFFFF"/>
              <w:bottom w:val="single" w:sz="2" w:space="0" w:color="000000"/>
              <w:right w:val="single" w:sz="24" w:space="0" w:color="FFFFFF"/>
            </w:tcBorders>
            <w:noWrap/>
          </w:tcPr>
          <w:p w14:paraId="6E57B115" w14:textId="77777777" w:rsidR="001F25B2" w:rsidRPr="003D565A" w:rsidRDefault="001F25B2" w:rsidP="004F297A">
            <w:pPr>
              <w:pStyle w:val="Tnumber"/>
              <w:keepNext/>
            </w:pPr>
            <w:r w:rsidRPr="003D565A">
              <w:t>552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5316AE4" w14:textId="77777777" w:rsidR="001F25B2" w:rsidRPr="003D565A" w:rsidRDefault="001F25B2" w:rsidP="004F297A">
            <w:pPr>
              <w:pStyle w:val="Tnumber"/>
              <w:keepNext/>
            </w:pPr>
            <w:r w:rsidRPr="003D565A">
              <w:t>459</w:t>
            </w:r>
          </w:p>
        </w:tc>
        <w:tc>
          <w:tcPr>
            <w:tcW w:w="1134" w:type="dxa"/>
            <w:tcBorders>
              <w:top w:val="single" w:sz="2" w:space="0" w:color="000000"/>
              <w:left w:val="single" w:sz="24" w:space="0" w:color="FFFFFF"/>
              <w:bottom w:val="single" w:sz="2" w:space="0" w:color="000000"/>
            </w:tcBorders>
            <w:noWrap/>
          </w:tcPr>
          <w:p w14:paraId="43DE74D6" w14:textId="77777777" w:rsidR="001F25B2" w:rsidRPr="003D565A" w:rsidRDefault="001F25B2" w:rsidP="004F297A">
            <w:pPr>
              <w:pStyle w:val="Tnumber"/>
              <w:keepNext/>
            </w:pPr>
            <w:r w:rsidRPr="003D565A">
              <w:t>– 16,8</w:t>
            </w:r>
          </w:p>
        </w:tc>
      </w:tr>
      <w:tr w:rsidR="001F25B2" w:rsidRPr="003D565A" w14:paraId="7E9D5C8A" w14:textId="77777777" w:rsidTr="001F25B2">
        <w:tc>
          <w:tcPr>
            <w:tcW w:w="3402" w:type="dxa"/>
            <w:tcBorders>
              <w:top w:val="single" w:sz="2" w:space="0" w:color="000000"/>
              <w:bottom w:val="single" w:sz="2" w:space="0" w:color="000000"/>
              <w:right w:val="single" w:sz="24" w:space="0" w:color="FFFFFF"/>
            </w:tcBorders>
          </w:tcPr>
          <w:p w14:paraId="34171629" w14:textId="77777777" w:rsidR="001F25B2" w:rsidRPr="003D565A" w:rsidRDefault="001F25B2" w:rsidP="004F297A">
            <w:pPr>
              <w:pStyle w:val="Ttext"/>
              <w:keepNext/>
            </w:pPr>
            <w:r w:rsidRPr="003D565A">
              <w:t>Free Operating Cash Flow</w:t>
            </w:r>
          </w:p>
        </w:tc>
        <w:tc>
          <w:tcPr>
            <w:tcW w:w="1134" w:type="dxa"/>
            <w:tcBorders>
              <w:top w:val="single" w:sz="2" w:space="0" w:color="000000"/>
              <w:left w:val="single" w:sz="24" w:space="0" w:color="FFFFFF"/>
              <w:bottom w:val="single" w:sz="2" w:space="0" w:color="000000"/>
              <w:right w:val="single" w:sz="24" w:space="0" w:color="FFFFFF"/>
            </w:tcBorders>
            <w:noWrap/>
          </w:tcPr>
          <w:p w14:paraId="74B9E4AE" w14:textId="77777777" w:rsidR="001F25B2" w:rsidRPr="003D565A" w:rsidRDefault="001F25B2" w:rsidP="004F297A">
            <w:pPr>
              <w:pStyle w:val="Tnumber"/>
              <w:keepNext/>
            </w:pPr>
            <w:r w:rsidRPr="003D565A">
              <w:t>330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A86D37C" w14:textId="77777777" w:rsidR="001F25B2" w:rsidRPr="003D565A" w:rsidRDefault="001F25B2" w:rsidP="004F297A">
            <w:pPr>
              <w:pStyle w:val="Tnumber"/>
              <w:keepNext/>
            </w:pPr>
            <w:r w:rsidRPr="003D565A">
              <w:t>394</w:t>
            </w:r>
          </w:p>
        </w:tc>
        <w:tc>
          <w:tcPr>
            <w:tcW w:w="1134" w:type="dxa"/>
            <w:tcBorders>
              <w:top w:val="single" w:sz="2" w:space="0" w:color="000000"/>
              <w:left w:val="single" w:sz="24" w:space="0" w:color="FFFFFF"/>
              <w:bottom w:val="single" w:sz="2" w:space="0" w:color="000000"/>
              <w:right w:val="single" w:sz="24" w:space="0" w:color="FFFFFF"/>
            </w:tcBorders>
            <w:noWrap/>
          </w:tcPr>
          <w:p w14:paraId="416C01A8" w14:textId="77777777" w:rsidR="001F25B2" w:rsidRPr="003D565A" w:rsidRDefault="001F25B2" w:rsidP="004F297A">
            <w:pPr>
              <w:pStyle w:val="Tnumber"/>
              <w:keepNext/>
            </w:pPr>
            <w:r w:rsidRPr="003D565A">
              <w:t>19,4</w:t>
            </w:r>
          </w:p>
        </w:tc>
        <w:tc>
          <w:tcPr>
            <w:tcW w:w="1134" w:type="dxa"/>
            <w:tcBorders>
              <w:top w:val="single" w:sz="2" w:space="0" w:color="000000"/>
              <w:left w:val="single" w:sz="24" w:space="0" w:color="FFFFFF"/>
              <w:bottom w:val="single" w:sz="2" w:space="0" w:color="000000"/>
              <w:right w:val="single" w:sz="24" w:space="0" w:color="FFFFFF"/>
            </w:tcBorders>
            <w:noWrap/>
          </w:tcPr>
          <w:p w14:paraId="67885A0D" w14:textId="77777777" w:rsidR="001F25B2" w:rsidRPr="003D565A" w:rsidRDefault="001F25B2" w:rsidP="004F297A">
            <w:pPr>
              <w:pStyle w:val="Tnumber"/>
              <w:keepNext/>
            </w:pPr>
            <w:r w:rsidRPr="003D565A">
              <w:t>473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4F3A49F" w14:textId="77777777" w:rsidR="001F25B2" w:rsidRPr="003D565A" w:rsidRDefault="001F25B2" w:rsidP="004F297A">
            <w:pPr>
              <w:pStyle w:val="Tnumber"/>
              <w:keepNext/>
            </w:pPr>
            <w:r w:rsidRPr="003D565A">
              <w:t>530</w:t>
            </w:r>
          </w:p>
        </w:tc>
        <w:tc>
          <w:tcPr>
            <w:tcW w:w="1134" w:type="dxa"/>
            <w:tcBorders>
              <w:top w:val="single" w:sz="2" w:space="0" w:color="000000"/>
              <w:left w:val="single" w:sz="24" w:space="0" w:color="FFFFFF"/>
              <w:bottom w:val="single" w:sz="2" w:space="0" w:color="000000"/>
            </w:tcBorders>
            <w:noWrap/>
          </w:tcPr>
          <w:p w14:paraId="41FF6A49" w14:textId="77777777" w:rsidR="001F25B2" w:rsidRPr="003D565A" w:rsidRDefault="001F25B2" w:rsidP="004F297A">
            <w:pPr>
              <w:pStyle w:val="Tnumber"/>
              <w:keepNext/>
            </w:pPr>
            <w:r w:rsidRPr="003D565A">
              <w:t>12,1</w:t>
            </w:r>
          </w:p>
        </w:tc>
      </w:tr>
      <w:tr w:rsidR="001F25B2" w:rsidRPr="003D565A" w14:paraId="445311D4" w14:textId="77777777" w:rsidTr="001F25B2">
        <w:tc>
          <w:tcPr>
            <w:tcW w:w="3402" w:type="dxa"/>
            <w:tcBorders>
              <w:top w:val="single" w:sz="2" w:space="0" w:color="000000"/>
              <w:bottom w:val="single" w:sz="2" w:space="0" w:color="000000"/>
              <w:right w:val="single" w:sz="24" w:space="0" w:color="FFFFFF"/>
            </w:tcBorders>
          </w:tcPr>
          <w:p w14:paraId="75F41B28" w14:textId="77777777" w:rsidR="001F25B2" w:rsidRPr="003D565A" w:rsidRDefault="001F25B2" w:rsidP="004F297A">
            <w:pPr>
              <w:pStyle w:val="TDummy"/>
              <w:keepNext/>
            </w:pPr>
            <w:bookmarkStart w:id="11" w:name="RANGE!B24:J24"/>
            <w:r w:rsidRPr="003D565A">
              <w:t> </w:t>
            </w:r>
            <w:bookmarkEnd w:id="11"/>
          </w:p>
        </w:tc>
        <w:tc>
          <w:tcPr>
            <w:tcW w:w="1134" w:type="dxa"/>
            <w:tcBorders>
              <w:top w:val="single" w:sz="2" w:space="0" w:color="000000"/>
              <w:left w:val="single" w:sz="24" w:space="0" w:color="FFFFFF"/>
              <w:bottom w:val="single" w:sz="2" w:space="0" w:color="000000"/>
              <w:right w:val="single" w:sz="24" w:space="0" w:color="FFFFFF"/>
            </w:tcBorders>
            <w:noWrap/>
          </w:tcPr>
          <w:p w14:paraId="30C2C5A4"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B250503"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163E152A"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66BEB443"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D165D89"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tcBorders>
            <w:noWrap/>
          </w:tcPr>
          <w:p w14:paraId="1E0F1987" w14:textId="77777777" w:rsidR="001F25B2" w:rsidRPr="003D565A" w:rsidRDefault="001F25B2" w:rsidP="004F297A">
            <w:pPr>
              <w:pStyle w:val="TDummy"/>
              <w:keepNext/>
            </w:pPr>
            <w:r w:rsidRPr="003D565A">
              <w:t> </w:t>
            </w:r>
          </w:p>
        </w:tc>
      </w:tr>
      <w:tr w:rsidR="001F25B2" w:rsidRPr="003D565A" w14:paraId="610B1058" w14:textId="77777777" w:rsidTr="001F25B2">
        <w:tc>
          <w:tcPr>
            <w:tcW w:w="3402" w:type="dxa"/>
            <w:tcBorders>
              <w:top w:val="single" w:sz="2" w:space="0" w:color="000000"/>
              <w:bottom w:val="single" w:sz="2" w:space="0" w:color="000000"/>
              <w:right w:val="single" w:sz="24" w:space="0" w:color="FFFFFF"/>
            </w:tcBorders>
            <w:shd w:val="clear" w:color="000000" w:fill="80CFF2"/>
          </w:tcPr>
          <w:p w14:paraId="41DFDE4A" w14:textId="77777777" w:rsidR="001F25B2" w:rsidRPr="003D565A" w:rsidRDefault="001F25B2" w:rsidP="004F297A">
            <w:pPr>
              <w:pStyle w:val="Ttextbold"/>
              <w:keepNext/>
            </w:pPr>
            <w:bookmarkStart w:id="12" w:name="RANGE!B25:J25"/>
            <w:r w:rsidRPr="003D565A">
              <w:t>Polyurethanes</w:t>
            </w:r>
            <w:bookmarkEnd w:id="12"/>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445F826B"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F1B0BEE"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6BA560C1"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427DCE44"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F5ECDCF"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tcBorders>
            <w:shd w:val="clear" w:color="000000" w:fill="80CFF2"/>
            <w:noWrap/>
          </w:tcPr>
          <w:p w14:paraId="230A6680" w14:textId="77777777" w:rsidR="001F25B2" w:rsidRPr="003D565A" w:rsidRDefault="001F25B2" w:rsidP="004F297A">
            <w:pPr>
              <w:pStyle w:val="Tnumberbold"/>
              <w:keepNext/>
            </w:pPr>
            <w:r w:rsidRPr="003D565A">
              <w:t> </w:t>
            </w:r>
          </w:p>
        </w:tc>
      </w:tr>
      <w:tr w:rsidR="001F25B2" w:rsidRPr="003D565A" w14:paraId="3C2BC005" w14:textId="77777777" w:rsidTr="001F25B2">
        <w:tc>
          <w:tcPr>
            <w:tcW w:w="3402" w:type="dxa"/>
            <w:tcBorders>
              <w:top w:val="single" w:sz="2" w:space="0" w:color="000000"/>
              <w:bottom w:val="single" w:sz="2" w:space="0" w:color="000000"/>
              <w:right w:val="single" w:sz="24" w:space="0" w:color="FFFFFF"/>
            </w:tcBorders>
            <w:noWrap/>
          </w:tcPr>
          <w:p w14:paraId="007EE3A1" w14:textId="77777777" w:rsidR="001F25B2" w:rsidRPr="003D565A" w:rsidRDefault="001F25B2" w:rsidP="004F297A">
            <w:pPr>
              <w:pStyle w:val="Ttext"/>
              <w:keepNext/>
            </w:pPr>
            <w:proofErr w:type="spellStart"/>
            <w:r w:rsidRPr="003D565A">
              <w:t>Mengenwachstum</w:t>
            </w:r>
            <w:proofErr w:type="spellEnd"/>
            <w:r w:rsidRPr="003D565A">
              <w:t xml:space="preserve"> </w:t>
            </w:r>
            <w:proofErr w:type="spellStart"/>
            <w:r w:rsidRPr="003D565A">
              <w:t>im</w:t>
            </w:r>
            <w:proofErr w:type="spellEnd"/>
            <w:r w:rsidRPr="003D565A">
              <w:t xml:space="preserve"> </w:t>
            </w:r>
            <w:proofErr w:type="spellStart"/>
            <w:r w:rsidRPr="003D565A">
              <w:t>Kerngeschäft</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1EEF3AEF" w14:textId="77777777" w:rsidR="001F25B2" w:rsidRPr="003D565A" w:rsidRDefault="001F25B2" w:rsidP="004F297A">
            <w:pPr>
              <w:pStyle w:val="Tnumber"/>
              <w:keepNext/>
            </w:pPr>
            <w:r w:rsidRPr="003D565A">
              <w:t>3,6 %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AB49314" w14:textId="77777777" w:rsidR="001F25B2" w:rsidRPr="003D565A" w:rsidRDefault="001F25B2" w:rsidP="004F297A">
            <w:pPr>
              <w:pStyle w:val="Tnumber"/>
              <w:keepNext/>
            </w:pPr>
            <w:r w:rsidRPr="003D565A">
              <w:t>0,8 %</w:t>
            </w:r>
          </w:p>
        </w:tc>
        <w:tc>
          <w:tcPr>
            <w:tcW w:w="1134" w:type="dxa"/>
            <w:tcBorders>
              <w:top w:val="single" w:sz="2" w:space="0" w:color="000000"/>
              <w:left w:val="single" w:sz="24" w:space="0" w:color="FFFFFF"/>
              <w:bottom w:val="single" w:sz="2" w:space="0" w:color="000000"/>
              <w:right w:val="single" w:sz="24" w:space="0" w:color="FFFFFF"/>
            </w:tcBorders>
            <w:noWrap/>
          </w:tcPr>
          <w:p w14:paraId="5C7B4AB5"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00EDDB39" w14:textId="77777777" w:rsidR="001F25B2" w:rsidRPr="003D565A" w:rsidRDefault="001F25B2" w:rsidP="004F297A">
            <w:pPr>
              <w:pStyle w:val="Tnumber"/>
              <w:keepNext/>
            </w:pPr>
            <w:r w:rsidRPr="003D565A">
              <w:t>2,3 %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FFFC88A" w14:textId="77777777" w:rsidR="001F25B2" w:rsidRPr="003D565A" w:rsidRDefault="001F25B2" w:rsidP="004F297A">
            <w:pPr>
              <w:pStyle w:val="Tnumber"/>
              <w:keepNext/>
            </w:pPr>
            <w:r w:rsidRPr="003D565A">
              <w:t>– 6,1 %</w:t>
            </w:r>
          </w:p>
        </w:tc>
        <w:tc>
          <w:tcPr>
            <w:tcW w:w="1134" w:type="dxa"/>
            <w:tcBorders>
              <w:top w:val="single" w:sz="2" w:space="0" w:color="000000"/>
              <w:left w:val="single" w:sz="24" w:space="0" w:color="FFFFFF"/>
              <w:bottom w:val="single" w:sz="2" w:space="0" w:color="000000"/>
            </w:tcBorders>
            <w:noWrap/>
          </w:tcPr>
          <w:p w14:paraId="52BD1DC4" w14:textId="77777777" w:rsidR="001F25B2" w:rsidRPr="003D565A" w:rsidRDefault="001F25B2" w:rsidP="004F297A">
            <w:pPr>
              <w:pStyle w:val="Tnumber"/>
              <w:keepNext/>
            </w:pPr>
            <w:r w:rsidRPr="003D565A">
              <w:t> </w:t>
            </w:r>
          </w:p>
        </w:tc>
      </w:tr>
      <w:tr w:rsidR="001F25B2" w:rsidRPr="003D565A" w14:paraId="6962C881" w14:textId="77777777" w:rsidTr="001F25B2">
        <w:tc>
          <w:tcPr>
            <w:tcW w:w="3402" w:type="dxa"/>
            <w:tcBorders>
              <w:top w:val="single" w:sz="2" w:space="0" w:color="000000"/>
              <w:bottom w:val="single" w:sz="2" w:space="0" w:color="000000"/>
              <w:right w:val="single" w:sz="24" w:space="0" w:color="FFFFFF"/>
            </w:tcBorders>
            <w:noWrap/>
          </w:tcPr>
          <w:p w14:paraId="75725528" w14:textId="77777777" w:rsidR="001F25B2" w:rsidRPr="003D565A" w:rsidRDefault="001F25B2" w:rsidP="004F297A">
            <w:pPr>
              <w:pStyle w:val="Ttext"/>
              <w:keepNext/>
            </w:pPr>
            <w:proofErr w:type="spellStart"/>
            <w:r w:rsidRPr="003D565A">
              <w:t>Umsatzerlöse</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3E39DB77" w14:textId="77777777" w:rsidR="001F25B2" w:rsidRPr="003D565A" w:rsidRDefault="001F25B2" w:rsidP="004F297A">
            <w:pPr>
              <w:pStyle w:val="Tnumber"/>
              <w:keepNext/>
            </w:pPr>
            <w:r w:rsidRPr="003D565A">
              <w:t>1.336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CA5287D" w14:textId="77777777" w:rsidR="001F25B2" w:rsidRPr="003D565A" w:rsidRDefault="001F25B2" w:rsidP="004F297A">
            <w:pPr>
              <w:pStyle w:val="Tnumber"/>
              <w:keepNext/>
            </w:pPr>
            <w:r w:rsidRPr="003D565A">
              <w:t>1.519</w:t>
            </w:r>
          </w:p>
        </w:tc>
        <w:tc>
          <w:tcPr>
            <w:tcW w:w="1134" w:type="dxa"/>
            <w:tcBorders>
              <w:top w:val="single" w:sz="2" w:space="0" w:color="000000"/>
              <w:left w:val="single" w:sz="24" w:space="0" w:color="FFFFFF"/>
              <w:bottom w:val="single" w:sz="2" w:space="0" w:color="000000"/>
              <w:right w:val="single" w:sz="24" w:space="0" w:color="FFFFFF"/>
            </w:tcBorders>
            <w:noWrap/>
          </w:tcPr>
          <w:p w14:paraId="770F2F74" w14:textId="77777777" w:rsidR="001F25B2" w:rsidRPr="003D565A" w:rsidRDefault="001F25B2" w:rsidP="004F297A">
            <w:pPr>
              <w:pStyle w:val="Tnumber"/>
              <w:keepNext/>
            </w:pPr>
            <w:r w:rsidRPr="003D565A">
              <w:t>13,7</w:t>
            </w:r>
          </w:p>
        </w:tc>
        <w:tc>
          <w:tcPr>
            <w:tcW w:w="1134" w:type="dxa"/>
            <w:tcBorders>
              <w:top w:val="single" w:sz="2" w:space="0" w:color="000000"/>
              <w:left w:val="single" w:sz="24" w:space="0" w:color="FFFFFF"/>
              <w:bottom w:val="single" w:sz="2" w:space="0" w:color="000000"/>
              <w:right w:val="single" w:sz="24" w:space="0" w:color="FFFFFF"/>
            </w:tcBorders>
            <w:noWrap/>
          </w:tcPr>
          <w:p w14:paraId="1C9C7280" w14:textId="77777777" w:rsidR="001F25B2" w:rsidRPr="003D565A" w:rsidRDefault="001F25B2" w:rsidP="004F297A">
            <w:pPr>
              <w:pStyle w:val="Tnumber"/>
              <w:keepNext/>
            </w:pPr>
            <w:r w:rsidRPr="003D565A">
              <w:t>5.779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8E147A1" w14:textId="77777777" w:rsidR="001F25B2" w:rsidRPr="003D565A" w:rsidRDefault="001F25B2" w:rsidP="004F297A">
            <w:pPr>
              <w:pStyle w:val="Tnumber"/>
              <w:keepNext/>
            </w:pPr>
            <w:r w:rsidRPr="003D565A">
              <w:t>5.021</w:t>
            </w:r>
          </w:p>
        </w:tc>
        <w:tc>
          <w:tcPr>
            <w:tcW w:w="1134" w:type="dxa"/>
            <w:tcBorders>
              <w:top w:val="single" w:sz="2" w:space="0" w:color="000000"/>
              <w:left w:val="single" w:sz="24" w:space="0" w:color="FFFFFF"/>
              <w:bottom w:val="single" w:sz="2" w:space="0" w:color="000000"/>
            </w:tcBorders>
            <w:noWrap/>
          </w:tcPr>
          <w:p w14:paraId="3585CEFE" w14:textId="77777777" w:rsidR="001F25B2" w:rsidRPr="003D565A" w:rsidRDefault="001F25B2" w:rsidP="004F297A">
            <w:pPr>
              <w:pStyle w:val="Tnumber"/>
              <w:keepNext/>
            </w:pPr>
            <w:r w:rsidRPr="003D565A">
              <w:t>– 13,1</w:t>
            </w:r>
          </w:p>
        </w:tc>
      </w:tr>
      <w:tr w:rsidR="001F25B2" w:rsidRPr="003D565A" w14:paraId="7CF79804" w14:textId="77777777" w:rsidTr="001F25B2">
        <w:tc>
          <w:tcPr>
            <w:tcW w:w="3402" w:type="dxa"/>
            <w:tcBorders>
              <w:top w:val="single" w:sz="2" w:space="0" w:color="000000"/>
              <w:bottom w:val="single" w:sz="2" w:space="0" w:color="000000"/>
              <w:right w:val="single" w:sz="24" w:space="0" w:color="FFFFFF"/>
            </w:tcBorders>
            <w:noWrap/>
          </w:tcPr>
          <w:p w14:paraId="0DB2DBBA" w14:textId="77777777" w:rsidR="001F25B2" w:rsidRPr="003D565A" w:rsidRDefault="001F25B2" w:rsidP="004F297A">
            <w:pPr>
              <w:pStyle w:val="Ttext"/>
              <w:keepNext/>
            </w:pPr>
            <w:proofErr w:type="spellStart"/>
            <w:r w:rsidRPr="003D565A">
              <w:t>Umsatzveränderungen</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21A42066"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07BBAE1"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15BD0AB4"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10506160"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6B46C60"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tcBorders>
            <w:noWrap/>
          </w:tcPr>
          <w:p w14:paraId="02AE8A2D" w14:textId="77777777" w:rsidR="001F25B2" w:rsidRPr="003D565A" w:rsidRDefault="001F25B2" w:rsidP="004F297A">
            <w:pPr>
              <w:pStyle w:val="Tnumber"/>
              <w:keepNext/>
            </w:pPr>
            <w:r w:rsidRPr="003D565A">
              <w:t> </w:t>
            </w:r>
          </w:p>
        </w:tc>
      </w:tr>
      <w:tr w:rsidR="001F25B2" w:rsidRPr="003D565A" w14:paraId="451D3860" w14:textId="77777777" w:rsidTr="001F25B2">
        <w:tc>
          <w:tcPr>
            <w:tcW w:w="3402" w:type="dxa"/>
            <w:tcBorders>
              <w:top w:val="single" w:sz="2" w:space="0" w:color="000000"/>
              <w:bottom w:val="single" w:sz="2" w:space="0" w:color="000000"/>
              <w:right w:val="single" w:sz="24" w:space="0" w:color="FFFFFF"/>
            </w:tcBorders>
            <w:noWrap/>
          </w:tcPr>
          <w:p w14:paraId="418FD016" w14:textId="77777777" w:rsidR="001F25B2" w:rsidRPr="003D565A" w:rsidRDefault="001F25B2" w:rsidP="004F297A">
            <w:pPr>
              <w:pStyle w:val="Ttextindent1"/>
              <w:keepNext/>
            </w:pPr>
            <w:bookmarkStart w:id="13" w:name="RANGE!B29:B32"/>
            <w:proofErr w:type="spellStart"/>
            <w:r w:rsidRPr="003D565A">
              <w:t>Menge</w:t>
            </w:r>
            <w:bookmarkEnd w:id="13"/>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452EA57F" w14:textId="77777777" w:rsidR="001F25B2" w:rsidRPr="003D565A" w:rsidRDefault="001F25B2" w:rsidP="004F297A">
            <w:pPr>
              <w:pStyle w:val="Tnumber"/>
              <w:keepNext/>
            </w:pPr>
            <w:r w:rsidRPr="003D565A">
              <w:t>– 0,2 %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98FDA3F" w14:textId="77777777" w:rsidR="001F25B2" w:rsidRPr="003D565A" w:rsidRDefault="001F25B2" w:rsidP="004F297A">
            <w:pPr>
              <w:pStyle w:val="Tnumber"/>
              <w:keepNext/>
            </w:pPr>
            <w:r w:rsidRPr="003D565A">
              <w:t>2,9 %</w:t>
            </w:r>
          </w:p>
        </w:tc>
        <w:tc>
          <w:tcPr>
            <w:tcW w:w="1134" w:type="dxa"/>
            <w:tcBorders>
              <w:top w:val="single" w:sz="2" w:space="0" w:color="000000"/>
              <w:left w:val="single" w:sz="24" w:space="0" w:color="FFFFFF"/>
              <w:bottom w:val="single" w:sz="2" w:space="0" w:color="000000"/>
              <w:right w:val="single" w:sz="24" w:space="0" w:color="FFFFFF"/>
            </w:tcBorders>
            <w:noWrap/>
          </w:tcPr>
          <w:p w14:paraId="0EB465F3"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39B7E48F" w14:textId="77777777" w:rsidR="001F25B2" w:rsidRPr="003D565A" w:rsidRDefault="001F25B2" w:rsidP="004F297A">
            <w:pPr>
              <w:pStyle w:val="Tnumber"/>
              <w:keepNext/>
            </w:pPr>
            <w:r w:rsidRPr="003D565A">
              <w:t>1,5 %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EC80E26" w14:textId="77777777" w:rsidR="001F25B2" w:rsidRPr="003D565A" w:rsidRDefault="001F25B2" w:rsidP="004F297A">
            <w:pPr>
              <w:pStyle w:val="Tnumber"/>
              <w:keepNext/>
            </w:pPr>
            <w:r w:rsidRPr="003D565A">
              <w:t>– 5,0 %</w:t>
            </w:r>
          </w:p>
        </w:tc>
        <w:tc>
          <w:tcPr>
            <w:tcW w:w="1134" w:type="dxa"/>
            <w:tcBorders>
              <w:top w:val="single" w:sz="2" w:space="0" w:color="000000"/>
              <w:left w:val="single" w:sz="24" w:space="0" w:color="FFFFFF"/>
              <w:bottom w:val="single" w:sz="2" w:space="0" w:color="000000"/>
            </w:tcBorders>
            <w:noWrap/>
          </w:tcPr>
          <w:p w14:paraId="3BD3BD98" w14:textId="77777777" w:rsidR="001F25B2" w:rsidRPr="003D565A" w:rsidRDefault="001F25B2" w:rsidP="004F297A">
            <w:pPr>
              <w:pStyle w:val="Tnumber"/>
              <w:keepNext/>
            </w:pPr>
            <w:r w:rsidRPr="003D565A">
              <w:t> </w:t>
            </w:r>
          </w:p>
        </w:tc>
      </w:tr>
      <w:tr w:rsidR="001F25B2" w:rsidRPr="003D565A" w14:paraId="1312FB5B" w14:textId="77777777" w:rsidTr="001F25B2">
        <w:tc>
          <w:tcPr>
            <w:tcW w:w="3402" w:type="dxa"/>
            <w:tcBorders>
              <w:top w:val="single" w:sz="2" w:space="0" w:color="000000"/>
              <w:bottom w:val="single" w:sz="2" w:space="0" w:color="000000"/>
              <w:right w:val="single" w:sz="24" w:space="0" w:color="FFFFFF"/>
            </w:tcBorders>
            <w:noWrap/>
          </w:tcPr>
          <w:p w14:paraId="0D0891A5" w14:textId="77777777" w:rsidR="001F25B2" w:rsidRPr="003D565A" w:rsidRDefault="001F25B2" w:rsidP="004F297A">
            <w:pPr>
              <w:pStyle w:val="Ttextindent1"/>
              <w:keepNext/>
            </w:pPr>
            <w:proofErr w:type="spellStart"/>
            <w:r w:rsidRPr="003D565A">
              <w:t>Preis</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1CC82775" w14:textId="77777777" w:rsidR="001F25B2" w:rsidRPr="003D565A" w:rsidRDefault="001F25B2" w:rsidP="004F297A">
            <w:pPr>
              <w:pStyle w:val="Tnumber"/>
              <w:keepNext/>
            </w:pPr>
            <w:r w:rsidRPr="003D565A">
              <w:t>– 16,9 %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59E760A" w14:textId="77777777" w:rsidR="001F25B2" w:rsidRPr="003D565A" w:rsidRDefault="001F25B2" w:rsidP="004F297A">
            <w:pPr>
              <w:pStyle w:val="Tnumber"/>
              <w:keepNext/>
            </w:pPr>
            <w:r w:rsidRPr="003D565A">
              <w:t>16,2 %</w:t>
            </w:r>
          </w:p>
        </w:tc>
        <w:tc>
          <w:tcPr>
            <w:tcW w:w="1134" w:type="dxa"/>
            <w:tcBorders>
              <w:top w:val="single" w:sz="2" w:space="0" w:color="000000"/>
              <w:left w:val="single" w:sz="24" w:space="0" w:color="FFFFFF"/>
              <w:bottom w:val="single" w:sz="2" w:space="0" w:color="000000"/>
              <w:right w:val="single" w:sz="24" w:space="0" w:color="FFFFFF"/>
            </w:tcBorders>
            <w:noWrap/>
          </w:tcPr>
          <w:p w14:paraId="6B2342DC"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42C8DAF9" w14:textId="77777777" w:rsidR="001F25B2" w:rsidRPr="003D565A" w:rsidRDefault="001F25B2" w:rsidP="004F297A">
            <w:pPr>
              <w:pStyle w:val="Tnumber"/>
              <w:keepNext/>
            </w:pPr>
            <w:r w:rsidRPr="003D565A">
              <w:t>– 24,7 %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E854F69" w14:textId="77777777" w:rsidR="001F25B2" w:rsidRPr="003D565A" w:rsidRDefault="001F25B2" w:rsidP="004F297A">
            <w:pPr>
              <w:pStyle w:val="Tnumber"/>
              <w:keepNext/>
            </w:pPr>
            <w:r w:rsidRPr="003D565A">
              <w:t>– 5,1 %</w:t>
            </w:r>
          </w:p>
        </w:tc>
        <w:tc>
          <w:tcPr>
            <w:tcW w:w="1134" w:type="dxa"/>
            <w:tcBorders>
              <w:top w:val="single" w:sz="2" w:space="0" w:color="000000"/>
              <w:left w:val="single" w:sz="24" w:space="0" w:color="FFFFFF"/>
              <w:bottom w:val="single" w:sz="2" w:space="0" w:color="000000"/>
            </w:tcBorders>
            <w:noWrap/>
          </w:tcPr>
          <w:p w14:paraId="4B443786" w14:textId="77777777" w:rsidR="001F25B2" w:rsidRPr="003D565A" w:rsidRDefault="001F25B2" w:rsidP="004F297A">
            <w:pPr>
              <w:pStyle w:val="Tnumber"/>
              <w:keepNext/>
            </w:pPr>
            <w:r w:rsidRPr="003D565A">
              <w:t> </w:t>
            </w:r>
          </w:p>
        </w:tc>
      </w:tr>
      <w:tr w:rsidR="001F25B2" w:rsidRPr="003D565A" w14:paraId="52927CF4" w14:textId="77777777" w:rsidTr="001F25B2">
        <w:tc>
          <w:tcPr>
            <w:tcW w:w="3402" w:type="dxa"/>
            <w:tcBorders>
              <w:top w:val="single" w:sz="2" w:space="0" w:color="000000"/>
              <w:bottom w:val="single" w:sz="2" w:space="0" w:color="000000"/>
              <w:right w:val="single" w:sz="24" w:space="0" w:color="FFFFFF"/>
            </w:tcBorders>
            <w:noWrap/>
          </w:tcPr>
          <w:p w14:paraId="5A418635" w14:textId="77777777" w:rsidR="001F25B2" w:rsidRPr="003D565A" w:rsidRDefault="001F25B2" w:rsidP="004F297A">
            <w:pPr>
              <w:pStyle w:val="Ttextindent1"/>
              <w:keepNext/>
            </w:pPr>
            <w:proofErr w:type="spellStart"/>
            <w:r w:rsidRPr="003D565A">
              <w:t>Währung</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1EC68948" w14:textId="77777777" w:rsidR="001F25B2" w:rsidRPr="003D565A" w:rsidRDefault="001F25B2" w:rsidP="004F297A">
            <w:pPr>
              <w:pStyle w:val="Tnumber"/>
              <w:keepNext/>
            </w:pPr>
            <w:r w:rsidRPr="003D565A">
              <w:t>1,5 %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18D4375" w14:textId="77777777" w:rsidR="001F25B2" w:rsidRPr="003D565A" w:rsidRDefault="001F25B2" w:rsidP="004F297A">
            <w:pPr>
              <w:pStyle w:val="Tnumber"/>
              <w:keepNext/>
            </w:pPr>
            <w:r w:rsidRPr="003D565A">
              <w:t>– 4,8 %</w:t>
            </w:r>
          </w:p>
        </w:tc>
        <w:tc>
          <w:tcPr>
            <w:tcW w:w="1134" w:type="dxa"/>
            <w:tcBorders>
              <w:top w:val="single" w:sz="2" w:space="0" w:color="000000"/>
              <w:left w:val="single" w:sz="24" w:space="0" w:color="FFFFFF"/>
              <w:bottom w:val="single" w:sz="2" w:space="0" w:color="000000"/>
              <w:right w:val="single" w:sz="24" w:space="0" w:color="FFFFFF"/>
            </w:tcBorders>
            <w:noWrap/>
          </w:tcPr>
          <w:p w14:paraId="6361B119"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35D404DE" w14:textId="77777777" w:rsidR="001F25B2" w:rsidRPr="003D565A" w:rsidRDefault="001F25B2" w:rsidP="004F297A">
            <w:pPr>
              <w:pStyle w:val="Tnumber"/>
              <w:keepNext/>
            </w:pPr>
            <w:r w:rsidRPr="003D565A">
              <w:t>1,8 %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1CB8AFF" w14:textId="77777777" w:rsidR="001F25B2" w:rsidRPr="003D565A" w:rsidRDefault="001F25B2" w:rsidP="004F297A">
            <w:pPr>
              <w:pStyle w:val="Tnumber"/>
              <w:keepNext/>
            </w:pPr>
            <w:r w:rsidRPr="003D565A">
              <w:t>– 2,0 %</w:t>
            </w:r>
          </w:p>
        </w:tc>
        <w:tc>
          <w:tcPr>
            <w:tcW w:w="1134" w:type="dxa"/>
            <w:tcBorders>
              <w:top w:val="single" w:sz="2" w:space="0" w:color="000000"/>
              <w:left w:val="single" w:sz="24" w:space="0" w:color="FFFFFF"/>
              <w:bottom w:val="single" w:sz="2" w:space="0" w:color="000000"/>
            </w:tcBorders>
            <w:noWrap/>
          </w:tcPr>
          <w:p w14:paraId="18A02404" w14:textId="77777777" w:rsidR="001F25B2" w:rsidRPr="003D565A" w:rsidRDefault="001F25B2" w:rsidP="004F297A">
            <w:pPr>
              <w:pStyle w:val="Tnumber"/>
              <w:keepNext/>
            </w:pPr>
            <w:r w:rsidRPr="003D565A">
              <w:t> </w:t>
            </w:r>
          </w:p>
        </w:tc>
      </w:tr>
      <w:tr w:rsidR="001F25B2" w:rsidRPr="003D565A" w14:paraId="7DCABADC" w14:textId="77777777" w:rsidTr="001F25B2">
        <w:tc>
          <w:tcPr>
            <w:tcW w:w="3402" w:type="dxa"/>
            <w:tcBorders>
              <w:top w:val="single" w:sz="2" w:space="0" w:color="000000"/>
              <w:bottom w:val="single" w:sz="2" w:space="0" w:color="000000"/>
              <w:right w:val="single" w:sz="24" w:space="0" w:color="FFFFFF"/>
            </w:tcBorders>
            <w:noWrap/>
          </w:tcPr>
          <w:p w14:paraId="58D06BC4" w14:textId="77777777" w:rsidR="001F25B2" w:rsidRPr="003D565A" w:rsidRDefault="001F25B2" w:rsidP="004F297A">
            <w:pPr>
              <w:pStyle w:val="Ttextindent1"/>
              <w:keepNext/>
            </w:pPr>
            <w:r w:rsidRPr="003D565A">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4EC310D9" w14:textId="77777777" w:rsidR="001F25B2" w:rsidRPr="003D565A" w:rsidRDefault="001F25B2" w:rsidP="004F297A">
            <w:pPr>
              <w:pStyle w:val="Tnumber"/>
              <w:keepNext/>
            </w:pPr>
            <w:r w:rsidRPr="003D565A">
              <w:t>– 0,7 %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C6A3C16" w14:textId="77777777" w:rsidR="001F25B2" w:rsidRPr="003D565A" w:rsidRDefault="001F25B2" w:rsidP="004F297A">
            <w:pPr>
              <w:pStyle w:val="Tnumber"/>
              <w:keepNext/>
            </w:pPr>
            <w:r w:rsidRPr="003D565A">
              <w:t>– 0,6 %</w:t>
            </w:r>
          </w:p>
        </w:tc>
        <w:tc>
          <w:tcPr>
            <w:tcW w:w="1134" w:type="dxa"/>
            <w:tcBorders>
              <w:top w:val="single" w:sz="2" w:space="0" w:color="000000"/>
              <w:left w:val="single" w:sz="24" w:space="0" w:color="FFFFFF"/>
              <w:bottom w:val="single" w:sz="2" w:space="0" w:color="000000"/>
              <w:right w:val="single" w:sz="24" w:space="0" w:color="FFFFFF"/>
            </w:tcBorders>
            <w:noWrap/>
          </w:tcPr>
          <w:p w14:paraId="028FD703"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63383859" w14:textId="77777777" w:rsidR="001F25B2" w:rsidRPr="003D565A" w:rsidRDefault="001F25B2" w:rsidP="004F297A">
            <w:pPr>
              <w:pStyle w:val="Tnumber"/>
              <w:keepNext/>
            </w:pPr>
            <w:r w:rsidRPr="003D565A">
              <w:t>– 0,1 %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ED69941" w14:textId="77777777" w:rsidR="001F25B2" w:rsidRPr="003D565A" w:rsidRDefault="001F25B2" w:rsidP="004F297A">
            <w:pPr>
              <w:pStyle w:val="Tnumber"/>
              <w:keepNext/>
            </w:pPr>
            <w:r w:rsidRPr="003D565A">
              <w:t>– 1,0 %</w:t>
            </w:r>
          </w:p>
        </w:tc>
        <w:tc>
          <w:tcPr>
            <w:tcW w:w="1134" w:type="dxa"/>
            <w:tcBorders>
              <w:top w:val="single" w:sz="2" w:space="0" w:color="000000"/>
              <w:left w:val="single" w:sz="24" w:space="0" w:color="FFFFFF"/>
              <w:bottom w:val="single" w:sz="2" w:space="0" w:color="000000"/>
            </w:tcBorders>
            <w:noWrap/>
          </w:tcPr>
          <w:p w14:paraId="09C24B2D" w14:textId="77777777" w:rsidR="001F25B2" w:rsidRPr="003D565A" w:rsidRDefault="001F25B2" w:rsidP="004F297A">
            <w:pPr>
              <w:pStyle w:val="Tnumber"/>
              <w:keepNext/>
            </w:pPr>
            <w:r w:rsidRPr="003D565A">
              <w:t> </w:t>
            </w:r>
          </w:p>
        </w:tc>
      </w:tr>
      <w:tr w:rsidR="001F25B2" w:rsidRPr="003D565A" w14:paraId="75EB382F" w14:textId="77777777" w:rsidTr="001F25B2">
        <w:tc>
          <w:tcPr>
            <w:tcW w:w="3402" w:type="dxa"/>
            <w:tcBorders>
              <w:top w:val="single" w:sz="2" w:space="0" w:color="000000"/>
              <w:bottom w:val="single" w:sz="2" w:space="0" w:color="000000"/>
              <w:right w:val="single" w:sz="24" w:space="0" w:color="FFFFFF"/>
            </w:tcBorders>
            <w:noWrap/>
          </w:tcPr>
          <w:p w14:paraId="656F8EFE" w14:textId="77777777" w:rsidR="001F25B2" w:rsidRPr="003D565A" w:rsidRDefault="001F25B2" w:rsidP="004F297A">
            <w:pPr>
              <w:pStyle w:val="Ttext"/>
              <w:keepNext/>
            </w:pPr>
            <w:r w:rsidRPr="003D565A">
              <w:t>EBITDA</w:t>
            </w:r>
          </w:p>
        </w:tc>
        <w:tc>
          <w:tcPr>
            <w:tcW w:w="1134" w:type="dxa"/>
            <w:tcBorders>
              <w:top w:val="single" w:sz="2" w:space="0" w:color="000000"/>
              <w:left w:val="single" w:sz="24" w:space="0" w:color="FFFFFF"/>
              <w:bottom w:val="single" w:sz="2" w:space="0" w:color="000000"/>
              <w:right w:val="single" w:sz="24" w:space="0" w:color="FFFFFF"/>
            </w:tcBorders>
            <w:noWrap/>
          </w:tcPr>
          <w:p w14:paraId="03CD96E5" w14:textId="77777777" w:rsidR="001F25B2" w:rsidRPr="003D565A" w:rsidRDefault="001F25B2" w:rsidP="004F297A">
            <w:pPr>
              <w:pStyle w:val="Tnumber"/>
              <w:keepNext/>
            </w:pPr>
            <w:r w:rsidRPr="003D565A">
              <w:t>123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12282E5" w14:textId="77777777" w:rsidR="001F25B2" w:rsidRPr="003D565A" w:rsidRDefault="001F25B2" w:rsidP="004F297A">
            <w:pPr>
              <w:pStyle w:val="Tnumber"/>
              <w:keepNext/>
            </w:pPr>
            <w:r w:rsidRPr="003D565A">
              <w:t>379</w:t>
            </w:r>
          </w:p>
        </w:tc>
        <w:tc>
          <w:tcPr>
            <w:tcW w:w="1134" w:type="dxa"/>
            <w:tcBorders>
              <w:top w:val="single" w:sz="2" w:space="0" w:color="000000"/>
              <w:left w:val="single" w:sz="24" w:space="0" w:color="FFFFFF"/>
              <w:bottom w:val="single" w:sz="2" w:space="0" w:color="000000"/>
              <w:right w:val="single" w:sz="24" w:space="0" w:color="FFFFFF"/>
            </w:tcBorders>
            <w:noWrap/>
          </w:tcPr>
          <w:p w14:paraId="24044B68" w14:textId="77777777" w:rsidR="001F25B2" w:rsidRPr="003D565A" w:rsidRDefault="001F25B2" w:rsidP="004F297A">
            <w:pPr>
              <w:pStyle w:val="Tnumber"/>
              <w:keepNext/>
            </w:pPr>
            <w:r w:rsidRPr="003D565A">
              <w:t>&gt;200</w:t>
            </w:r>
          </w:p>
        </w:tc>
        <w:tc>
          <w:tcPr>
            <w:tcW w:w="1134" w:type="dxa"/>
            <w:tcBorders>
              <w:top w:val="single" w:sz="2" w:space="0" w:color="000000"/>
              <w:left w:val="single" w:sz="24" w:space="0" w:color="FFFFFF"/>
              <w:bottom w:val="single" w:sz="2" w:space="0" w:color="000000"/>
              <w:right w:val="single" w:sz="24" w:space="0" w:color="FFFFFF"/>
            </w:tcBorders>
            <w:noWrap/>
          </w:tcPr>
          <w:p w14:paraId="53CDA1CF" w14:textId="77777777" w:rsidR="001F25B2" w:rsidRPr="003D565A" w:rsidRDefault="001F25B2" w:rsidP="004F297A">
            <w:pPr>
              <w:pStyle w:val="Tnumber"/>
              <w:keepNext/>
            </w:pPr>
            <w:r w:rsidRPr="003D565A">
              <w:t>648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2C55D0E" w14:textId="77777777" w:rsidR="001F25B2" w:rsidRPr="003D565A" w:rsidRDefault="001F25B2" w:rsidP="004F297A">
            <w:pPr>
              <w:pStyle w:val="Tnumber"/>
              <w:keepNext/>
            </w:pPr>
            <w:r w:rsidRPr="003D565A">
              <w:t>625</w:t>
            </w:r>
          </w:p>
        </w:tc>
        <w:tc>
          <w:tcPr>
            <w:tcW w:w="1134" w:type="dxa"/>
            <w:tcBorders>
              <w:top w:val="single" w:sz="2" w:space="0" w:color="000000"/>
              <w:left w:val="single" w:sz="24" w:space="0" w:color="FFFFFF"/>
              <w:bottom w:val="single" w:sz="2" w:space="0" w:color="000000"/>
            </w:tcBorders>
            <w:noWrap/>
          </w:tcPr>
          <w:p w14:paraId="388F8B99" w14:textId="77777777" w:rsidR="001F25B2" w:rsidRPr="003D565A" w:rsidRDefault="001F25B2" w:rsidP="004F297A">
            <w:pPr>
              <w:pStyle w:val="Tnumber"/>
              <w:keepNext/>
            </w:pPr>
            <w:r w:rsidRPr="003D565A">
              <w:t>– 3,5</w:t>
            </w:r>
          </w:p>
        </w:tc>
      </w:tr>
      <w:tr w:rsidR="001F25B2" w:rsidRPr="003D565A" w14:paraId="22484F80" w14:textId="77777777" w:rsidTr="001F25B2">
        <w:tc>
          <w:tcPr>
            <w:tcW w:w="3402" w:type="dxa"/>
            <w:tcBorders>
              <w:top w:val="single" w:sz="2" w:space="0" w:color="000000"/>
              <w:bottom w:val="single" w:sz="2" w:space="0" w:color="000000"/>
              <w:right w:val="single" w:sz="24" w:space="0" w:color="FFFFFF"/>
            </w:tcBorders>
            <w:noWrap/>
          </w:tcPr>
          <w:p w14:paraId="5BD7477A" w14:textId="77777777" w:rsidR="001F25B2" w:rsidRPr="003D565A" w:rsidRDefault="001F25B2" w:rsidP="004F297A">
            <w:pPr>
              <w:pStyle w:val="Ttext"/>
              <w:keepNext/>
            </w:pPr>
            <w:r w:rsidRPr="003D565A">
              <w:t>EBIT</w:t>
            </w:r>
          </w:p>
        </w:tc>
        <w:tc>
          <w:tcPr>
            <w:tcW w:w="1134" w:type="dxa"/>
            <w:tcBorders>
              <w:top w:val="single" w:sz="2" w:space="0" w:color="000000"/>
              <w:left w:val="single" w:sz="24" w:space="0" w:color="FFFFFF"/>
              <w:bottom w:val="single" w:sz="2" w:space="0" w:color="000000"/>
              <w:right w:val="single" w:sz="24" w:space="0" w:color="FFFFFF"/>
            </w:tcBorders>
            <w:noWrap/>
          </w:tcPr>
          <w:p w14:paraId="6CDDFC71" w14:textId="77777777" w:rsidR="001F25B2" w:rsidRPr="003D565A" w:rsidRDefault="001F25B2" w:rsidP="004F297A">
            <w:pPr>
              <w:pStyle w:val="Tnumber"/>
              <w:keepNext/>
            </w:pPr>
            <w:r w:rsidRPr="003D565A">
              <w:t>24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B2A7530" w14:textId="77777777" w:rsidR="001F25B2" w:rsidRPr="003D565A" w:rsidRDefault="001F25B2" w:rsidP="004F297A">
            <w:pPr>
              <w:pStyle w:val="Tnumber"/>
              <w:keepNext/>
            </w:pPr>
            <w:r w:rsidRPr="003D565A">
              <w:t>264</w:t>
            </w:r>
          </w:p>
        </w:tc>
        <w:tc>
          <w:tcPr>
            <w:tcW w:w="1134" w:type="dxa"/>
            <w:tcBorders>
              <w:top w:val="single" w:sz="2" w:space="0" w:color="000000"/>
              <w:left w:val="single" w:sz="24" w:space="0" w:color="FFFFFF"/>
              <w:bottom w:val="single" w:sz="2" w:space="0" w:color="000000"/>
              <w:right w:val="single" w:sz="24" w:space="0" w:color="FFFFFF"/>
            </w:tcBorders>
            <w:noWrap/>
          </w:tcPr>
          <w:p w14:paraId="46DE68E9" w14:textId="77777777" w:rsidR="001F25B2" w:rsidRPr="003D565A" w:rsidRDefault="001F25B2" w:rsidP="004F297A">
            <w:pPr>
              <w:pStyle w:val="Tnumber"/>
              <w:keepNext/>
            </w:pPr>
            <w:r w:rsidRPr="003D565A">
              <w:t>&gt;</w:t>
            </w:r>
            <w:r>
              <w:t>9</w:t>
            </w:r>
            <w:r w:rsidRPr="003D565A">
              <w:t>00</w:t>
            </w:r>
          </w:p>
        </w:tc>
        <w:tc>
          <w:tcPr>
            <w:tcW w:w="1134" w:type="dxa"/>
            <w:tcBorders>
              <w:top w:val="single" w:sz="2" w:space="0" w:color="000000"/>
              <w:left w:val="single" w:sz="24" w:space="0" w:color="FFFFFF"/>
              <w:bottom w:val="single" w:sz="2" w:space="0" w:color="000000"/>
              <w:right w:val="single" w:sz="24" w:space="0" w:color="FFFFFF"/>
            </w:tcBorders>
            <w:noWrap/>
          </w:tcPr>
          <w:p w14:paraId="5D6B8E81" w14:textId="77777777" w:rsidR="001F25B2" w:rsidRPr="003D565A" w:rsidRDefault="001F25B2" w:rsidP="004F297A">
            <w:pPr>
              <w:pStyle w:val="Tnumber"/>
              <w:keepNext/>
            </w:pPr>
            <w:r w:rsidRPr="003D565A">
              <w:t>250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246DF3B" w14:textId="77777777" w:rsidR="001F25B2" w:rsidRPr="003D565A" w:rsidRDefault="001F25B2" w:rsidP="004F297A">
            <w:pPr>
              <w:pStyle w:val="Tnumber"/>
              <w:keepNext/>
            </w:pPr>
            <w:r w:rsidRPr="003D565A">
              <w:t>197</w:t>
            </w:r>
          </w:p>
        </w:tc>
        <w:tc>
          <w:tcPr>
            <w:tcW w:w="1134" w:type="dxa"/>
            <w:tcBorders>
              <w:top w:val="single" w:sz="2" w:space="0" w:color="000000"/>
              <w:left w:val="single" w:sz="24" w:space="0" w:color="FFFFFF"/>
              <w:bottom w:val="single" w:sz="2" w:space="0" w:color="000000"/>
            </w:tcBorders>
            <w:noWrap/>
          </w:tcPr>
          <w:p w14:paraId="73EE9147" w14:textId="77777777" w:rsidR="001F25B2" w:rsidRPr="003D565A" w:rsidRDefault="001F25B2" w:rsidP="004F297A">
            <w:pPr>
              <w:pStyle w:val="Tnumber"/>
              <w:keepNext/>
            </w:pPr>
            <w:r w:rsidRPr="003D565A">
              <w:t>– 21,2</w:t>
            </w:r>
          </w:p>
        </w:tc>
      </w:tr>
      <w:tr w:rsidR="001F25B2" w:rsidRPr="003D565A" w14:paraId="2EAF1F9A" w14:textId="77777777" w:rsidTr="001F25B2">
        <w:tc>
          <w:tcPr>
            <w:tcW w:w="3402" w:type="dxa"/>
            <w:tcBorders>
              <w:top w:val="single" w:sz="2" w:space="0" w:color="000000"/>
              <w:bottom w:val="single" w:sz="2" w:space="0" w:color="000000"/>
              <w:right w:val="single" w:sz="24" w:space="0" w:color="FFFFFF"/>
            </w:tcBorders>
          </w:tcPr>
          <w:p w14:paraId="4B1EB1E6" w14:textId="77777777" w:rsidR="001F25B2" w:rsidRPr="003D565A" w:rsidRDefault="001F25B2" w:rsidP="004F297A">
            <w:pPr>
              <w:pStyle w:val="Ttext"/>
              <w:keepNext/>
            </w:pPr>
            <w:r w:rsidRPr="003D565A">
              <w:t>Free Operating Cash Flow</w:t>
            </w:r>
          </w:p>
        </w:tc>
        <w:tc>
          <w:tcPr>
            <w:tcW w:w="1134" w:type="dxa"/>
            <w:tcBorders>
              <w:top w:val="single" w:sz="2" w:space="0" w:color="000000"/>
              <w:left w:val="single" w:sz="24" w:space="0" w:color="FFFFFF"/>
              <w:bottom w:val="single" w:sz="2" w:space="0" w:color="000000"/>
              <w:right w:val="single" w:sz="24" w:space="0" w:color="FFFFFF"/>
            </w:tcBorders>
            <w:noWrap/>
          </w:tcPr>
          <w:p w14:paraId="739B9A92" w14:textId="77777777" w:rsidR="001F25B2" w:rsidRPr="003D565A" w:rsidRDefault="001F25B2" w:rsidP="004F297A">
            <w:pPr>
              <w:pStyle w:val="Tnumber"/>
              <w:keepNext/>
            </w:pPr>
            <w:r w:rsidRPr="003D565A">
              <w:t>114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385C0F6" w14:textId="77777777" w:rsidR="001F25B2" w:rsidRPr="003D565A" w:rsidRDefault="001F25B2" w:rsidP="004F297A">
            <w:pPr>
              <w:pStyle w:val="Tnumber"/>
              <w:keepNext/>
            </w:pPr>
            <w:r w:rsidRPr="003D565A">
              <w:t>147</w:t>
            </w:r>
          </w:p>
        </w:tc>
        <w:tc>
          <w:tcPr>
            <w:tcW w:w="1134" w:type="dxa"/>
            <w:tcBorders>
              <w:top w:val="single" w:sz="2" w:space="0" w:color="000000"/>
              <w:left w:val="single" w:sz="24" w:space="0" w:color="FFFFFF"/>
              <w:bottom w:val="single" w:sz="2" w:space="0" w:color="000000"/>
              <w:right w:val="single" w:sz="24" w:space="0" w:color="FFFFFF"/>
            </w:tcBorders>
            <w:noWrap/>
          </w:tcPr>
          <w:p w14:paraId="2D4862D4" w14:textId="77777777" w:rsidR="001F25B2" w:rsidRPr="003D565A" w:rsidRDefault="001F25B2" w:rsidP="004F297A">
            <w:pPr>
              <w:pStyle w:val="Tnumber"/>
              <w:keepNext/>
            </w:pPr>
            <w:r w:rsidRPr="003D565A">
              <w:t>28,9</w:t>
            </w:r>
          </w:p>
        </w:tc>
        <w:tc>
          <w:tcPr>
            <w:tcW w:w="1134" w:type="dxa"/>
            <w:tcBorders>
              <w:top w:val="single" w:sz="2" w:space="0" w:color="000000"/>
              <w:left w:val="single" w:sz="24" w:space="0" w:color="FFFFFF"/>
              <w:bottom w:val="single" w:sz="2" w:space="0" w:color="000000"/>
              <w:right w:val="single" w:sz="24" w:space="0" w:color="FFFFFF"/>
            </w:tcBorders>
            <w:noWrap/>
          </w:tcPr>
          <w:p w14:paraId="4D04211A" w14:textId="77777777" w:rsidR="001F25B2" w:rsidRPr="003D565A" w:rsidRDefault="001F25B2" w:rsidP="004F297A">
            <w:pPr>
              <w:pStyle w:val="Tnumber"/>
              <w:keepNext/>
            </w:pPr>
            <w:r w:rsidRPr="003D565A">
              <w:t>32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276C43A" w14:textId="77777777" w:rsidR="001F25B2" w:rsidRPr="003D565A" w:rsidRDefault="001F25B2" w:rsidP="004F297A">
            <w:pPr>
              <w:pStyle w:val="Tnumber"/>
              <w:keepNext/>
            </w:pPr>
            <w:r w:rsidRPr="003D565A">
              <w:t>14</w:t>
            </w:r>
          </w:p>
        </w:tc>
        <w:tc>
          <w:tcPr>
            <w:tcW w:w="1134" w:type="dxa"/>
            <w:tcBorders>
              <w:top w:val="single" w:sz="2" w:space="0" w:color="000000"/>
              <w:left w:val="single" w:sz="24" w:space="0" w:color="FFFFFF"/>
              <w:bottom w:val="single" w:sz="2" w:space="0" w:color="000000"/>
            </w:tcBorders>
            <w:noWrap/>
          </w:tcPr>
          <w:p w14:paraId="1152C07C" w14:textId="77777777" w:rsidR="001F25B2" w:rsidRPr="003D565A" w:rsidRDefault="001F25B2" w:rsidP="004F297A">
            <w:pPr>
              <w:pStyle w:val="Tnumber"/>
              <w:keepNext/>
            </w:pPr>
            <w:r w:rsidRPr="003D565A">
              <w:t>– 56,3</w:t>
            </w:r>
          </w:p>
        </w:tc>
      </w:tr>
      <w:tr w:rsidR="001F25B2" w:rsidRPr="003D565A" w14:paraId="79AAAA6D" w14:textId="77777777" w:rsidTr="001F25B2">
        <w:tc>
          <w:tcPr>
            <w:tcW w:w="3402" w:type="dxa"/>
            <w:tcBorders>
              <w:top w:val="single" w:sz="2" w:space="0" w:color="000000"/>
              <w:bottom w:val="single" w:sz="2" w:space="0" w:color="000000"/>
              <w:right w:val="single" w:sz="24" w:space="0" w:color="FFFFFF"/>
            </w:tcBorders>
          </w:tcPr>
          <w:p w14:paraId="0F5C2686" w14:textId="77777777" w:rsidR="001F25B2" w:rsidRPr="003D565A" w:rsidRDefault="001F25B2" w:rsidP="004F297A">
            <w:pPr>
              <w:pStyle w:val="TDummy"/>
              <w:keepNext/>
            </w:pPr>
            <w:bookmarkStart w:id="14" w:name="RANGE!B38:J38"/>
            <w:r w:rsidRPr="003D565A">
              <w:t> </w:t>
            </w:r>
            <w:bookmarkEnd w:id="14"/>
          </w:p>
        </w:tc>
        <w:tc>
          <w:tcPr>
            <w:tcW w:w="1134" w:type="dxa"/>
            <w:tcBorders>
              <w:top w:val="single" w:sz="2" w:space="0" w:color="000000"/>
              <w:left w:val="single" w:sz="24" w:space="0" w:color="FFFFFF"/>
              <w:bottom w:val="single" w:sz="2" w:space="0" w:color="000000"/>
              <w:right w:val="single" w:sz="24" w:space="0" w:color="FFFFFF"/>
            </w:tcBorders>
          </w:tcPr>
          <w:p w14:paraId="5D3E9268" w14:textId="77777777" w:rsidR="001F25B2" w:rsidRPr="003D565A" w:rsidRDefault="001F25B2" w:rsidP="004F297A">
            <w:pPr>
              <w:pStyle w:val="TDummy"/>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48394AB" w14:textId="77777777" w:rsidR="001F25B2" w:rsidRPr="003D565A" w:rsidRDefault="001F25B2" w:rsidP="004F297A">
            <w:pPr>
              <w:pStyle w:val="TDummy"/>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noWrap/>
          </w:tcPr>
          <w:p w14:paraId="06EB4BC0" w14:textId="77777777" w:rsidR="001F25B2" w:rsidRPr="003D565A" w:rsidRDefault="001F25B2" w:rsidP="004F297A">
            <w:pPr>
              <w:pStyle w:val="TDummy"/>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noWrap/>
          </w:tcPr>
          <w:p w14:paraId="0BC5C03F" w14:textId="77777777" w:rsidR="001F25B2" w:rsidRPr="003D565A" w:rsidRDefault="001F25B2" w:rsidP="004F297A">
            <w:pPr>
              <w:pStyle w:val="TDummy"/>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C6CECE8" w14:textId="77777777" w:rsidR="001F25B2" w:rsidRPr="003D565A" w:rsidRDefault="001F25B2" w:rsidP="004F297A">
            <w:pPr>
              <w:pStyle w:val="TDummy"/>
              <w:keepNext/>
            </w:pPr>
            <w:r w:rsidRPr="003D565A">
              <w:rPr>
                <w:b/>
                <w:bCs/>
              </w:rPr>
              <w:t> </w:t>
            </w:r>
          </w:p>
        </w:tc>
        <w:tc>
          <w:tcPr>
            <w:tcW w:w="1134" w:type="dxa"/>
            <w:tcBorders>
              <w:top w:val="single" w:sz="2" w:space="0" w:color="000000"/>
              <w:left w:val="single" w:sz="24" w:space="0" w:color="FFFFFF"/>
              <w:bottom w:val="single" w:sz="2" w:space="0" w:color="000000"/>
            </w:tcBorders>
            <w:noWrap/>
          </w:tcPr>
          <w:p w14:paraId="39C946B7" w14:textId="77777777" w:rsidR="001F25B2" w:rsidRPr="003D565A" w:rsidRDefault="001F25B2" w:rsidP="004F297A">
            <w:pPr>
              <w:pStyle w:val="TDummy"/>
              <w:keepNext/>
            </w:pPr>
            <w:r w:rsidRPr="003D565A">
              <w:rPr>
                <w:b/>
                <w:bCs/>
              </w:rPr>
              <w:t> </w:t>
            </w:r>
          </w:p>
        </w:tc>
      </w:tr>
      <w:tr w:rsidR="001F25B2" w:rsidRPr="003D565A" w14:paraId="7F533EDB" w14:textId="77777777" w:rsidTr="001F25B2">
        <w:tc>
          <w:tcPr>
            <w:tcW w:w="3402" w:type="dxa"/>
            <w:tcBorders>
              <w:top w:val="single" w:sz="2" w:space="0" w:color="000000"/>
              <w:bottom w:val="single" w:sz="2" w:space="0" w:color="000000"/>
              <w:right w:val="single" w:sz="24" w:space="0" w:color="FFFFFF"/>
            </w:tcBorders>
            <w:shd w:val="clear" w:color="000000" w:fill="80CFF2"/>
          </w:tcPr>
          <w:p w14:paraId="23591089" w14:textId="77777777" w:rsidR="001F25B2" w:rsidRPr="003D565A" w:rsidRDefault="001F25B2" w:rsidP="004F297A">
            <w:pPr>
              <w:pStyle w:val="Ttextbold"/>
              <w:keepNext/>
            </w:pPr>
            <w:bookmarkStart w:id="15" w:name="RANGE!B39:J39"/>
            <w:r w:rsidRPr="003D565A">
              <w:t>Polycarbonates</w:t>
            </w:r>
            <w:bookmarkEnd w:id="15"/>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2ADC11D7" w14:textId="77777777" w:rsidR="001F25B2" w:rsidRPr="003D565A" w:rsidRDefault="001F25B2" w:rsidP="004F297A">
            <w:pPr>
              <w:pStyle w:val="Tnumberbold"/>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7A5362D" w14:textId="77777777" w:rsidR="001F25B2" w:rsidRPr="003D565A" w:rsidRDefault="001F25B2" w:rsidP="004F297A">
            <w:pPr>
              <w:pStyle w:val="Tnumberbold"/>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781C4AB7" w14:textId="77777777" w:rsidR="001F25B2" w:rsidRPr="003D565A" w:rsidRDefault="001F25B2" w:rsidP="004F297A">
            <w:pPr>
              <w:pStyle w:val="Tnumberbold"/>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706B3DAC" w14:textId="77777777" w:rsidR="001F25B2" w:rsidRPr="003D565A" w:rsidRDefault="001F25B2" w:rsidP="004F297A">
            <w:pPr>
              <w:pStyle w:val="Tnumberbold"/>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D29DE9A" w14:textId="77777777" w:rsidR="001F25B2" w:rsidRPr="003D565A" w:rsidRDefault="001F25B2" w:rsidP="004F297A">
            <w:pPr>
              <w:pStyle w:val="Tnumberbold"/>
              <w:keepNext/>
            </w:pPr>
            <w:r w:rsidRPr="003D565A">
              <w:rPr>
                <w:b/>
                <w:bCs/>
              </w:rPr>
              <w:t> </w:t>
            </w:r>
          </w:p>
        </w:tc>
        <w:tc>
          <w:tcPr>
            <w:tcW w:w="1134" w:type="dxa"/>
            <w:tcBorders>
              <w:top w:val="single" w:sz="2" w:space="0" w:color="000000"/>
              <w:left w:val="single" w:sz="24" w:space="0" w:color="FFFFFF"/>
              <w:bottom w:val="single" w:sz="2" w:space="0" w:color="000000"/>
            </w:tcBorders>
            <w:shd w:val="clear" w:color="000000" w:fill="80CFF2"/>
            <w:noWrap/>
          </w:tcPr>
          <w:p w14:paraId="2A4DA22C" w14:textId="77777777" w:rsidR="001F25B2" w:rsidRPr="003D565A" w:rsidRDefault="001F25B2" w:rsidP="004F297A">
            <w:pPr>
              <w:pStyle w:val="Tnumberbold"/>
              <w:keepNext/>
            </w:pPr>
            <w:r w:rsidRPr="003D565A">
              <w:rPr>
                <w:b/>
                <w:bCs/>
              </w:rPr>
              <w:t> </w:t>
            </w:r>
          </w:p>
        </w:tc>
      </w:tr>
      <w:tr w:rsidR="001F25B2" w:rsidRPr="003D565A" w14:paraId="370FF141" w14:textId="77777777" w:rsidTr="001F25B2">
        <w:tc>
          <w:tcPr>
            <w:tcW w:w="3402" w:type="dxa"/>
            <w:tcBorders>
              <w:top w:val="single" w:sz="2" w:space="0" w:color="000000"/>
              <w:bottom w:val="single" w:sz="2" w:space="0" w:color="000000"/>
              <w:right w:val="single" w:sz="24" w:space="0" w:color="FFFFFF"/>
            </w:tcBorders>
            <w:noWrap/>
          </w:tcPr>
          <w:p w14:paraId="379F65B3" w14:textId="77777777" w:rsidR="001F25B2" w:rsidRPr="003D565A" w:rsidRDefault="001F25B2" w:rsidP="004F297A">
            <w:pPr>
              <w:pStyle w:val="Ttext"/>
              <w:keepNext/>
            </w:pPr>
            <w:proofErr w:type="spellStart"/>
            <w:r w:rsidRPr="003D565A">
              <w:t>Mengenwachstum</w:t>
            </w:r>
            <w:proofErr w:type="spellEnd"/>
            <w:r w:rsidRPr="003D565A">
              <w:t xml:space="preserve"> </w:t>
            </w:r>
            <w:proofErr w:type="spellStart"/>
            <w:r w:rsidRPr="003D565A">
              <w:t>im</w:t>
            </w:r>
            <w:proofErr w:type="spellEnd"/>
            <w:r w:rsidRPr="003D565A">
              <w:t xml:space="preserve"> </w:t>
            </w:r>
            <w:proofErr w:type="spellStart"/>
            <w:r w:rsidRPr="003D565A">
              <w:t>Kerngeschäft</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790D4D87" w14:textId="77777777" w:rsidR="001F25B2" w:rsidRPr="003D565A" w:rsidRDefault="001F25B2" w:rsidP="004F297A">
            <w:pPr>
              <w:pStyle w:val="Tnumber"/>
              <w:keepNext/>
            </w:pPr>
            <w:r w:rsidRPr="003D565A">
              <w:t>3,5 %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E643B84" w14:textId="77777777" w:rsidR="001F25B2" w:rsidRPr="003D565A" w:rsidRDefault="001F25B2" w:rsidP="004F297A">
            <w:pPr>
              <w:pStyle w:val="Tnumber"/>
              <w:keepNext/>
            </w:pPr>
            <w:r w:rsidRPr="003D565A">
              <w:t>3,2 %</w:t>
            </w:r>
          </w:p>
        </w:tc>
        <w:tc>
          <w:tcPr>
            <w:tcW w:w="1134" w:type="dxa"/>
            <w:tcBorders>
              <w:top w:val="single" w:sz="2" w:space="0" w:color="000000"/>
              <w:left w:val="single" w:sz="24" w:space="0" w:color="FFFFFF"/>
              <w:bottom w:val="single" w:sz="2" w:space="0" w:color="000000"/>
              <w:right w:val="single" w:sz="24" w:space="0" w:color="FFFFFF"/>
            </w:tcBorders>
            <w:noWrap/>
          </w:tcPr>
          <w:p w14:paraId="364BFA04"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1BC334BC" w14:textId="77777777" w:rsidR="001F25B2" w:rsidRPr="003D565A" w:rsidRDefault="001F25B2" w:rsidP="004F297A">
            <w:pPr>
              <w:pStyle w:val="Tnumber"/>
              <w:keepNext/>
            </w:pPr>
            <w:r w:rsidRPr="003D565A">
              <w:t>2,7 %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ACADC80" w14:textId="77777777" w:rsidR="001F25B2" w:rsidRPr="003D565A" w:rsidRDefault="001F25B2" w:rsidP="004F297A">
            <w:pPr>
              <w:pStyle w:val="Tnumber"/>
              <w:keepNext/>
            </w:pPr>
            <w:r w:rsidRPr="003D565A">
              <w:t>– 3,0 %</w:t>
            </w:r>
          </w:p>
        </w:tc>
        <w:tc>
          <w:tcPr>
            <w:tcW w:w="1134" w:type="dxa"/>
            <w:tcBorders>
              <w:top w:val="single" w:sz="2" w:space="0" w:color="000000"/>
              <w:left w:val="single" w:sz="24" w:space="0" w:color="FFFFFF"/>
              <w:bottom w:val="single" w:sz="2" w:space="0" w:color="000000"/>
            </w:tcBorders>
            <w:noWrap/>
          </w:tcPr>
          <w:p w14:paraId="4379E9ED" w14:textId="77777777" w:rsidR="001F25B2" w:rsidRPr="003D565A" w:rsidRDefault="001F25B2" w:rsidP="004F297A">
            <w:pPr>
              <w:pStyle w:val="Tnumber"/>
              <w:keepNext/>
            </w:pPr>
            <w:r w:rsidRPr="003D565A">
              <w:t> </w:t>
            </w:r>
          </w:p>
        </w:tc>
      </w:tr>
      <w:tr w:rsidR="001F25B2" w:rsidRPr="003D565A" w14:paraId="79C987FA" w14:textId="77777777" w:rsidTr="001F25B2">
        <w:tc>
          <w:tcPr>
            <w:tcW w:w="3402" w:type="dxa"/>
            <w:tcBorders>
              <w:top w:val="single" w:sz="2" w:space="0" w:color="000000"/>
              <w:bottom w:val="single" w:sz="2" w:space="0" w:color="000000"/>
              <w:right w:val="single" w:sz="24" w:space="0" w:color="FFFFFF"/>
            </w:tcBorders>
            <w:noWrap/>
          </w:tcPr>
          <w:p w14:paraId="79A72161" w14:textId="77777777" w:rsidR="001F25B2" w:rsidRPr="003D565A" w:rsidRDefault="001F25B2" w:rsidP="004F297A">
            <w:pPr>
              <w:pStyle w:val="Ttext"/>
              <w:keepNext/>
            </w:pPr>
            <w:proofErr w:type="spellStart"/>
            <w:r w:rsidRPr="003D565A">
              <w:t>Umsatzerlöse</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1BB86D1E" w14:textId="77777777" w:rsidR="001F25B2" w:rsidRPr="003D565A" w:rsidRDefault="001F25B2" w:rsidP="004F297A">
            <w:pPr>
              <w:pStyle w:val="Tnumber"/>
              <w:keepNext/>
            </w:pPr>
            <w:r w:rsidRPr="003D565A">
              <w:t>814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D3EDA83" w14:textId="77777777" w:rsidR="001F25B2" w:rsidRPr="003D565A" w:rsidRDefault="001F25B2" w:rsidP="004F297A">
            <w:pPr>
              <w:pStyle w:val="Tnumber"/>
              <w:keepNext/>
            </w:pPr>
            <w:r w:rsidRPr="003D565A">
              <w:t>803</w:t>
            </w:r>
          </w:p>
        </w:tc>
        <w:tc>
          <w:tcPr>
            <w:tcW w:w="1134" w:type="dxa"/>
            <w:tcBorders>
              <w:top w:val="single" w:sz="2" w:space="0" w:color="000000"/>
              <w:left w:val="single" w:sz="24" w:space="0" w:color="FFFFFF"/>
              <w:bottom w:val="single" w:sz="2" w:space="0" w:color="000000"/>
              <w:right w:val="single" w:sz="24" w:space="0" w:color="FFFFFF"/>
            </w:tcBorders>
            <w:noWrap/>
          </w:tcPr>
          <w:p w14:paraId="3F51996C" w14:textId="77777777" w:rsidR="001F25B2" w:rsidRPr="003D565A" w:rsidRDefault="001F25B2" w:rsidP="004F297A">
            <w:pPr>
              <w:pStyle w:val="Tnumber"/>
              <w:keepNext/>
            </w:pPr>
            <w:r w:rsidRPr="003D565A">
              <w:t>– 1,4</w:t>
            </w:r>
          </w:p>
        </w:tc>
        <w:tc>
          <w:tcPr>
            <w:tcW w:w="1134" w:type="dxa"/>
            <w:tcBorders>
              <w:top w:val="single" w:sz="2" w:space="0" w:color="000000"/>
              <w:left w:val="single" w:sz="24" w:space="0" w:color="FFFFFF"/>
              <w:bottom w:val="single" w:sz="2" w:space="0" w:color="000000"/>
              <w:right w:val="single" w:sz="24" w:space="0" w:color="FFFFFF"/>
            </w:tcBorders>
            <w:noWrap/>
          </w:tcPr>
          <w:p w14:paraId="3877A92A" w14:textId="77777777" w:rsidR="001F25B2" w:rsidRPr="003D565A" w:rsidRDefault="001F25B2" w:rsidP="004F297A">
            <w:pPr>
              <w:pStyle w:val="Tnumber"/>
              <w:keepNext/>
            </w:pPr>
            <w:r w:rsidRPr="003D565A">
              <w:t>3.473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1A17D6F" w14:textId="77777777" w:rsidR="001F25B2" w:rsidRPr="003D565A" w:rsidRDefault="001F25B2" w:rsidP="004F297A">
            <w:pPr>
              <w:pStyle w:val="Tnumber"/>
              <w:keepNext/>
            </w:pPr>
            <w:r w:rsidRPr="003D565A">
              <w:t>2.985</w:t>
            </w:r>
          </w:p>
        </w:tc>
        <w:tc>
          <w:tcPr>
            <w:tcW w:w="1134" w:type="dxa"/>
            <w:tcBorders>
              <w:top w:val="single" w:sz="2" w:space="0" w:color="000000"/>
              <w:left w:val="single" w:sz="24" w:space="0" w:color="FFFFFF"/>
              <w:bottom w:val="single" w:sz="2" w:space="0" w:color="000000"/>
            </w:tcBorders>
            <w:noWrap/>
          </w:tcPr>
          <w:p w14:paraId="0B55E89D" w14:textId="77777777" w:rsidR="001F25B2" w:rsidRPr="003D565A" w:rsidRDefault="001F25B2" w:rsidP="004F297A">
            <w:pPr>
              <w:pStyle w:val="Tnumber"/>
              <w:keepNext/>
            </w:pPr>
            <w:r w:rsidRPr="003D565A">
              <w:t>– 14,1</w:t>
            </w:r>
          </w:p>
        </w:tc>
      </w:tr>
      <w:tr w:rsidR="001F25B2" w:rsidRPr="003D565A" w14:paraId="3601A835" w14:textId="77777777" w:rsidTr="001F25B2">
        <w:tc>
          <w:tcPr>
            <w:tcW w:w="3402" w:type="dxa"/>
            <w:tcBorders>
              <w:top w:val="single" w:sz="2" w:space="0" w:color="000000"/>
              <w:bottom w:val="single" w:sz="2" w:space="0" w:color="000000"/>
              <w:right w:val="single" w:sz="24" w:space="0" w:color="FFFFFF"/>
            </w:tcBorders>
            <w:noWrap/>
          </w:tcPr>
          <w:p w14:paraId="437283D2" w14:textId="77777777" w:rsidR="001F25B2" w:rsidRPr="003D565A" w:rsidRDefault="001F25B2" w:rsidP="004F297A">
            <w:pPr>
              <w:pStyle w:val="Ttext"/>
              <w:keepNext/>
            </w:pPr>
            <w:proofErr w:type="spellStart"/>
            <w:r w:rsidRPr="003D565A">
              <w:t>Umsatzveränderungen</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1B37EED3" w14:textId="77777777" w:rsidR="001F25B2" w:rsidRPr="003D565A" w:rsidRDefault="001F25B2" w:rsidP="004F297A">
            <w:pPr>
              <w:pStyle w:val="Tnumber"/>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BD1DED5" w14:textId="77777777" w:rsidR="001F25B2" w:rsidRPr="003D565A" w:rsidRDefault="001F25B2" w:rsidP="004F297A">
            <w:pPr>
              <w:pStyle w:val="Tnumber"/>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noWrap/>
          </w:tcPr>
          <w:p w14:paraId="4D5E6479" w14:textId="77777777" w:rsidR="001F25B2" w:rsidRPr="003D565A" w:rsidRDefault="001F25B2" w:rsidP="004F297A">
            <w:pPr>
              <w:pStyle w:val="Tnumber"/>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noWrap/>
          </w:tcPr>
          <w:p w14:paraId="394160A8" w14:textId="77777777" w:rsidR="001F25B2" w:rsidRPr="003D565A" w:rsidRDefault="001F25B2" w:rsidP="004F297A">
            <w:pPr>
              <w:pStyle w:val="Tnumber"/>
              <w:keepNext/>
            </w:pPr>
            <w:r w:rsidRPr="003D565A">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C25D9AF" w14:textId="77777777" w:rsidR="001F25B2" w:rsidRPr="003D565A" w:rsidRDefault="001F25B2" w:rsidP="004F297A">
            <w:pPr>
              <w:pStyle w:val="Tnumber"/>
              <w:keepNext/>
            </w:pPr>
            <w:r w:rsidRPr="003D565A">
              <w:rPr>
                <w:b/>
                <w:bCs/>
              </w:rPr>
              <w:t> </w:t>
            </w:r>
          </w:p>
        </w:tc>
        <w:tc>
          <w:tcPr>
            <w:tcW w:w="1134" w:type="dxa"/>
            <w:tcBorders>
              <w:top w:val="single" w:sz="2" w:space="0" w:color="000000"/>
              <w:left w:val="single" w:sz="24" w:space="0" w:color="FFFFFF"/>
              <w:bottom w:val="single" w:sz="2" w:space="0" w:color="000000"/>
            </w:tcBorders>
            <w:noWrap/>
          </w:tcPr>
          <w:p w14:paraId="731CE171" w14:textId="77777777" w:rsidR="001F25B2" w:rsidRPr="003D565A" w:rsidRDefault="001F25B2" w:rsidP="004F297A">
            <w:pPr>
              <w:pStyle w:val="Tnumber"/>
              <w:keepNext/>
            </w:pPr>
            <w:r w:rsidRPr="003D565A">
              <w:rPr>
                <w:b/>
                <w:bCs/>
              </w:rPr>
              <w:t> </w:t>
            </w:r>
          </w:p>
        </w:tc>
      </w:tr>
      <w:tr w:rsidR="001F25B2" w:rsidRPr="003D565A" w14:paraId="41720C75" w14:textId="77777777" w:rsidTr="001F25B2">
        <w:tc>
          <w:tcPr>
            <w:tcW w:w="3402" w:type="dxa"/>
            <w:tcBorders>
              <w:top w:val="single" w:sz="2" w:space="0" w:color="000000"/>
              <w:bottom w:val="single" w:sz="2" w:space="0" w:color="000000"/>
              <w:right w:val="single" w:sz="24" w:space="0" w:color="FFFFFF"/>
            </w:tcBorders>
            <w:noWrap/>
          </w:tcPr>
          <w:p w14:paraId="789ED257" w14:textId="77777777" w:rsidR="001F25B2" w:rsidRPr="003D565A" w:rsidRDefault="001F25B2" w:rsidP="004F297A">
            <w:pPr>
              <w:pStyle w:val="Ttextindent1"/>
              <w:keepNext/>
            </w:pPr>
            <w:bookmarkStart w:id="16" w:name="RANGE!B43:B46"/>
            <w:proofErr w:type="spellStart"/>
            <w:r w:rsidRPr="003D565A">
              <w:t>Menge</w:t>
            </w:r>
            <w:bookmarkEnd w:id="16"/>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7FF852AE" w14:textId="77777777" w:rsidR="001F25B2" w:rsidRPr="003D565A" w:rsidRDefault="001F25B2" w:rsidP="004F297A">
            <w:pPr>
              <w:pStyle w:val="Tnumber"/>
              <w:keepNext/>
            </w:pPr>
            <w:r w:rsidRPr="003D565A">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488DFCF" w14:textId="77777777" w:rsidR="001F25B2" w:rsidRPr="003D565A" w:rsidRDefault="001F25B2" w:rsidP="004F297A">
            <w:pPr>
              <w:pStyle w:val="Tnumber"/>
              <w:keepNext/>
            </w:pPr>
            <w:r w:rsidRPr="003D565A">
              <w:t>7,4 %</w:t>
            </w:r>
          </w:p>
        </w:tc>
        <w:tc>
          <w:tcPr>
            <w:tcW w:w="1134" w:type="dxa"/>
            <w:tcBorders>
              <w:top w:val="single" w:sz="2" w:space="0" w:color="000000"/>
              <w:left w:val="single" w:sz="24" w:space="0" w:color="FFFFFF"/>
              <w:bottom w:val="single" w:sz="2" w:space="0" w:color="000000"/>
              <w:right w:val="single" w:sz="24" w:space="0" w:color="FFFFFF"/>
            </w:tcBorders>
            <w:noWrap/>
          </w:tcPr>
          <w:p w14:paraId="41FEF91E"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6DA7C38B" w14:textId="77777777" w:rsidR="001F25B2" w:rsidRPr="003D565A" w:rsidRDefault="001F25B2" w:rsidP="004F297A">
            <w:pPr>
              <w:pStyle w:val="Tnumber"/>
              <w:keepNext/>
            </w:pPr>
            <w:r w:rsidRPr="003D565A">
              <w:t>2,4 %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805AEEB" w14:textId="77777777" w:rsidR="001F25B2" w:rsidRPr="003D565A" w:rsidRDefault="001F25B2" w:rsidP="004F297A">
            <w:pPr>
              <w:pStyle w:val="Tnumber"/>
              <w:keepNext/>
            </w:pPr>
            <w:r w:rsidRPr="003D565A">
              <w:t>– 2,3 %</w:t>
            </w:r>
          </w:p>
        </w:tc>
        <w:tc>
          <w:tcPr>
            <w:tcW w:w="1134" w:type="dxa"/>
            <w:tcBorders>
              <w:top w:val="single" w:sz="2" w:space="0" w:color="000000"/>
              <w:left w:val="single" w:sz="24" w:space="0" w:color="FFFFFF"/>
              <w:bottom w:val="single" w:sz="2" w:space="0" w:color="000000"/>
            </w:tcBorders>
            <w:noWrap/>
          </w:tcPr>
          <w:p w14:paraId="6D145E49" w14:textId="77777777" w:rsidR="001F25B2" w:rsidRPr="003D565A" w:rsidRDefault="001F25B2" w:rsidP="004F297A">
            <w:pPr>
              <w:pStyle w:val="Tnumber"/>
              <w:keepNext/>
            </w:pPr>
            <w:r w:rsidRPr="003D565A">
              <w:t> </w:t>
            </w:r>
          </w:p>
        </w:tc>
      </w:tr>
      <w:tr w:rsidR="001F25B2" w:rsidRPr="003D565A" w14:paraId="2C4F5536" w14:textId="77777777" w:rsidTr="001F25B2">
        <w:tc>
          <w:tcPr>
            <w:tcW w:w="3402" w:type="dxa"/>
            <w:tcBorders>
              <w:top w:val="single" w:sz="2" w:space="0" w:color="000000"/>
              <w:bottom w:val="single" w:sz="2" w:space="0" w:color="000000"/>
              <w:right w:val="single" w:sz="24" w:space="0" w:color="FFFFFF"/>
            </w:tcBorders>
            <w:noWrap/>
          </w:tcPr>
          <w:p w14:paraId="4F54BABF" w14:textId="77777777" w:rsidR="001F25B2" w:rsidRPr="003D565A" w:rsidRDefault="001F25B2" w:rsidP="004F297A">
            <w:pPr>
              <w:pStyle w:val="Ttextindent1"/>
              <w:keepNext/>
            </w:pPr>
            <w:proofErr w:type="spellStart"/>
            <w:r w:rsidRPr="003D565A">
              <w:t>Preis</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008D0DDA" w14:textId="77777777" w:rsidR="001F25B2" w:rsidRPr="003D565A" w:rsidRDefault="001F25B2" w:rsidP="004F297A">
            <w:pPr>
              <w:pStyle w:val="Tnumber"/>
              <w:keepNext/>
            </w:pPr>
            <w:r w:rsidRPr="003D565A">
              <w:t>– 13,5 %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E591D37" w14:textId="77777777" w:rsidR="001F25B2" w:rsidRPr="003D565A" w:rsidRDefault="001F25B2" w:rsidP="004F297A">
            <w:pPr>
              <w:pStyle w:val="Tnumber"/>
              <w:keepNext/>
            </w:pPr>
            <w:r w:rsidRPr="003D565A">
              <w:t>– 2,1 %</w:t>
            </w:r>
          </w:p>
        </w:tc>
        <w:tc>
          <w:tcPr>
            <w:tcW w:w="1134" w:type="dxa"/>
            <w:tcBorders>
              <w:top w:val="single" w:sz="2" w:space="0" w:color="000000"/>
              <w:left w:val="single" w:sz="24" w:space="0" w:color="FFFFFF"/>
              <w:bottom w:val="single" w:sz="2" w:space="0" w:color="000000"/>
              <w:right w:val="single" w:sz="24" w:space="0" w:color="FFFFFF"/>
            </w:tcBorders>
            <w:noWrap/>
          </w:tcPr>
          <w:p w14:paraId="7BC2A995"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75F0C64A" w14:textId="77777777" w:rsidR="001F25B2" w:rsidRPr="003D565A" w:rsidRDefault="001F25B2" w:rsidP="004F297A">
            <w:pPr>
              <w:pStyle w:val="Tnumber"/>
              <w:keepNext/>
            </w:pPr>
            <w:r w:rsidRPr="003D565A">
              <w:t>– 16,5 %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0F40D2E" w14:textId="77777777" w:rsidR="001F25B2" w:rsidRPr="003D565A" w:rsidRDefault="001F25B2" w:rsidP="004F297A">
            <w:pPr>
              <w:pStyle w:val="Tnumber"/>
              <w:keepNext/>
            </w:pPr>
            <w:r w:rsidRPr="003D565A">
              <w:t>– 7,0 %</w:t>
            </w:r>
          </w:p>
        </w:tc>
        <w:tc>
          <w:tcPr>
            <w:tcW w:w="1134" w:type="dxa"/>
            <w:tcBorders>
              <w:top w:val="single" w:sz="2" w:space="0" w:color="000000"/>
              <w:left w:val="single" w:sz="24" w:space="0" w:color="FFFFFF"/>
              <w:bottom w:val="single" w:sz="2" w:space="0" w:color="000000"/>
            </w:tcBorders>
            <w:noWrap/>
          </w:tcPr>
          <w:p w14:paraId="1DAA60C6" w14:textId="77777777" w:rsidR="001F25B2" w:rsidRPr="003D565A" w:rsidRDefault="001F25B2" w:rsidP="004F297A">
            <w:pPr>
              <w:pStyle w:val="Tnumber"/>
              <w:keepNext/>
            </w:pPr>
            <w:r w:rsidRPr="003D565A">
              <w:t> </w:t>
            </w:r>
          </w:p>
        </w:tc>
      </w:tr>
      <w:tr w:rsidR="001F25B2" w:rsidRPr="003D565A" w14:paraId="04BB3C68" w14:textId="77777777" w:rsidTr="001F25B2">
        <w:tc>
          <w:tcPr>
            <w:tcW w:w="3402" w:type="dxa"/>
            <w:tcBorders>
              <w:top w:val="single" w:sz="2" w:space="0" w:color="000000"/>
              <w:bottom w:val="single" w:sz="2" w:space="0" w:color="000000"/>
              <w:right w:val="single" w:sz="24" w:space="0" w:color="FFFFFF"/>
            </w:tcBorders>
            <w:noWrap/>
          </w:tcPr>
          <w:p w14:paraId="7A84C4D1" w14:textId="77777777" w:rsidR="001F25B2" w:rsidRPr="003D565A" w:rsidRDefault="001F25B2" w:rsidP="004F297A">
            <w:pPr>
              <w:pStyle w:val="Ttextindent1"/>
              <w:keepNext/>
            </w:pPr>
            <w:proofErr w:type="spellStart"/>
            <w:r w:rsidRPr="003D565A">
              <w:t>Währung</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527F7BB6" w14:textId="77777777" w:rsidR="001F25B2" w:rsidRPr="003D565A" w:rsidRDefault="001F25B2" w:rsidP="004F297A">
            <w:pPr>
              <w:pStyle w:val="Tnumber"/>
              <w:keepNext/>
            </w:pPr>
            <w:r w:rsidRPr="003D565A">
              <w:t>1,6 %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FB9E3A2" w14:textId="77777777" w:rsidR="001F25B2" w:rsidRPr="003D565A" w:rsidRDefault="001F25B2" w:rsidP="004F297A">
            <w:pPr>
              <w:pStyle w:val="Tnumber"/>
              <w:keepNext/>
            </w:pPr>
            <w:r w:rsidRPr="003D565A">
              <w:t>– 3,7 %</w:t>
            </w:r>
          </w:p>
        </w:tc>
        <w:tc>
          <w:tcPr>
            <w:tcW w:w="1134" w:type="dxa"/>
            <w:tcBorders>
              <w:top w:val="single" w:sz="2" w:space="0" w:color="000000"/>
              <w:left w:val="single" w:sz="24" w:space="0" w:color="FFFFFF"/>
              <w:bottom w:val="single" w:sz="2" w:space="0" w:color="000000"/>
              <w:right w:val="single" w:sz="24" w:space="0" w:color="FFFFFF"/>
            </w:tcBorders>
            <w:noWrap/>
          </w:tcPr>
          <w:p w14:paraId="195EBAFC"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62381635" w14:textId="77777777" w:rsidR="001F25B2" w:rsidRPr="003D565A" w:rsidRDefault="001F25B2" w:rsidP="004F297A">
            <w:pPr>
              <w:pStyle w:val="Tnumber"/>
              <w:keepNext/>
            </w:pPr>
            <w:r w:rsidRPr="003D565A">
              <w:t>2,0 %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CB8E618" w14:textId="77777777" w:rsidR="001F25B2" w:rsidRPr="003D565A" w:rsidRDefault="001F25B2" w:rsidP="004F297A">
            <w:pPr>
              <w:pStyle w:val="Tnumber"/>
              <w:keepNext/>
            </w:pPr>
            <w:r w:rsidRPr="003D565A">
              <w:t>– 1,5 %</w:t>
            </w:r>
          </w:p>
        </w:tc>
        <w:tc>
          <w:tcPr>
            <w:tcW w:w="1134" w:type="dxa"/>
            <w:tcBorders>
              <w:top w:val="single" w:sz="2" w:space="0" w:color="000000"/>
              <w:left w:val="single" w:sz="24" w:space="0" w:color="FFFFFF"/>
              <w:bottom w:val="single" w:sz="2" w:space="0" w:color="000000"/>
            </w:tcBorders>
            <w:noWrap/>
          </w:tcPr>
          <w:p w14:paraId="7C5FDD57" w14:textId="77777777" w:rsidR="001F25B2" w:rsidRPr="003D565A" w:rsidRDefault="001F25B2" w:rsidP="004F297A">
            <w:pPr>
              <w:pStyle w:val="Tnumber"/>
              <w:keepNext/>
            </w:pPr>
            <w:r w:rsidRPr="003D565A">
              <w:t> </w:t>
            </w:r>
          </w:p>
        </w:tc>
      </w:tr>
      <w:tr w:rsidR="001F25B2" w:rsidRPr="003D565A" w14:paraId="5C2F1B0E" w14:textId="77777777" w:rsidTr="001F25B2">
        <w:tc>
          <w:tcPr>
            <w:tcW w:w="3402" w:type="dxa"/>
            <w:tcBorders>
              <w:top w:val="single" w:sz="2" w:space="0" w:color="000000"/>
              <w:bottom w:val="single" w:sz="2" w:space="0" w:color="000000"/>
              <w:right w:val="single" w:sz="24" w:space="0" w:color="FFFFFF"/>
            </w:tcBorders>
            <w:noWrap/>
          </w:tcPr>
          <w:p w14:paraId="1E09278B" w14:textId="77777777" w:rsidR="001F25B2" w:rsidRPr="003D565A" w:rsidRDefault="001F25B2" w:rsidP="004F297A">
            <w:pPr>
              <w:pStyle w:val="Ttextindent1"/>
              <w:keepNext/>
            </w:pPr>
            <w:r w:rsidRPr="003D565A">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603EB717" w14:textId="77777777" w:rsidR="001F25B2" w:rsidRPr="003D565A" w:rsidRDefault="001F25B2" w:rsidP="004F297A">
            <w:pPr>
              <w:pStyle w:val="Tnumber"/>
              <w:keepNext/>
            </w:pPr>
            <w:r w:rsidRPr="003D565A">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102E504" w14:textId="77777777" w:rsidR="001F25B2" w:rsidRPr="003D565A" w:rsidRDefault="001F25B2" w:rsidP="004F297A">
            <w:pPr>
              <w:pStyle w:val="Tnumber"/>
              <w:keepNext/>
            </w:pPr>
            <w:r w:rsidRPr="003D565A">
              <w:t>– 3,0 %</w:t>
            </w:r>
          </w:p>
        </w:tc>
        <w:tc>
          <w:tcPr>
            <w:tcW w:w="1134" w:type="dxa"/>
            <w:tcBorders>
              <w:top w:val="single" w:sz="2" w:space="0" w:color="000000"/>
              <w:left w:val="single" w:sz="24" w:space="0" w:color="FFFFFF"/>
              <w:bottom w:val="single" w:sz="2" w:space="0" w:color="000000"/>
              <w:right w:val="single" w:sz="24" w:space="0" w:color="FFFFFF"/>
            </w:tcBorders>
            <w:noWrap/>
          </w:tcPr>
          <w:p w14:paraId="4718A75D"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17D97D9E" w14:textId="77777777" w:rsidR="001F25B2" w:rsidRPr="003D565A" w:rsidRDefault="001F25B2" w:rsidP="004F297A">
            <w:pPr>
              <w:pStyle w:val="Tnumber"/>
              <w:keepNext/>
            </w:pPr>
            <w:r w:rsidRPr="003D565A">
              <w:t>– 2,2 %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DB4E048" w14:textId="77777777" w:rsidR="001F25B2" w:rsidRPr="003D565A" w:rsidRDefault="001F25B2" w:rsidP="004F297A">
            <w:pPr>
              <w:pStyle w:val="Tnumber"/>
              <w:keepNext/>
            </w:pPr>
            <w:r w:rsidRPr="003D565A">
              <w:t>– 3,3 %</w:t>
            </w:r>
          </w:p>
        </w:tc>
        <w:tc>
          <w:tcPr>
            <w:tcW w:w="1134" w:type="dxa"/>
            <w:tcBorders>
              <w:top w:val="single" w:sz="2" w:space="0" w:color="000000"/>
              <w:left w:val="single" w:sz="24" w:space="0" w:color="FFFFFF"/>
              <w:bottom w:val="single" w:sz="2" w:space="0" w:color="000000"/>
            </w:tcBorders>
            <w:noWrap/>
          </w:tcPr>
          <w:p w14:paraId="6F0CE160" w14:textId="77777777" w:rsidR="001F25B2" w:rsidRPr="003D565A" w:rsidRDefault="001F25B2" w:rsidP="004F297A">
            <w:pPr>
              <w:pStyle w:val="Tnumber"/>
              <w:keepNext/>
            </w:pPr>
            <w:r w:rsidRPr="003D565A">
              <w:t> </w:t>
            </w:r>
          </w:p>
        </w:tc>
      </w:tr>
      <w:tr w:rsidR="001F25B2" w:rsidRPr="003D565A" w14:paraId="674FD41E" w14:textId="77777777" w:rsidTr="001F25B2">
        <w:tc>
          <w:tcPr>
            <w:tcW w:w="3402" w:type="dxa"/>
            <w:tcBorders>
              <w:top w:val="single" w:sz="2" w:space="0" w:color="000000"/>
              <w:bottom w:val="single" w:sz="2" w:space="0" w:color="000000"/>
              <w:right w:val="single" w:sz="24" w:space="0" w:color="FFFFFF"/>
            </w:tcBorders>
            <w:noWrap/>
          </w:tcPr>
          <w:p w14:paraId="162DD99B" w14:textId="77777777" w:rsidR="001F25B2" w:rsidRPr="003D565A" w:rsidRDefault="001F25B2" w:rsidP="004F297A">
            <w:pPr>
              <w:pStyle w:val="Ttext"/>
              <w:keepNext/>
            </w:pPr>
            <w:r w:rsidRPr="003D565A">
              <w:t>EBITDA</w:t>
            </w:r>
          </w:p>
        </w:tc>
        <w:tc>
          <w:tcPr>
            <w:tcW w:w="1134" w:type="dxa"/>
            <w:tcBorders>
              <w:top w:val="single" w:sz="2" w:space="0" w:color="000000"/>
              <w:left w:val="single" w:sz="24" w:space="0" w:color="FFFFFF"/>
              <w:bottom w:val="single" w:sz="2" w:space="0" w:color="000000"/>
              <w:right w:val="single" w:sz="24" w:space="0" w:color="FFFFFF"/>
            </w:tcBorders>
            <w:noWrap/>
          </w:tcPr>
          <w:p w14:paraId="7801C9E6" w14:textId="77777777" w:rsidR="001F25B2" w:rsidRPr="003D565A" w:rsidRDefault="001F25B2" w:rsidP="004F297A">
            <w:pPr>
              <w:pStyle w:val="Tnumber"/>
              <w:keepNext/>
            </w:pPr>
            <w:r w:rsidRPr="003D565A">
              <w:t>95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7AB7E67" w14:textId="77777777" w:rsidR="001F25B2" w:rsidRPr="003D565A" w:rsidRDefault="001F25B2" w:rsidP="004F297A">
            <w:pPr>
              <w:pStyle w:val="Tnumber"/>
              <w:keepNext/>
            </w:pPr>
            <w:r w:rsidRPr="003D565A">
              <w:t>200</w:t>
            </w:r>
          </w:p>
        </w:tc>
        <w:tc>
          <w:tcPr>
            <w:tcW w:w="1134" w:type="dxa"/>
            <w:tcBorders>
              <w:top w:val="single" w:sz="2" w:space="0" w:color="000000"/>
              <w:left w:val="single" w:sz="24" w:space="0" w:color="FFFFFF"/>
              <w:bottom w:val="single" w:sz="2" w:space="0" w:color="000000"/>
              <w:right w:val="single" w:sz="24" w:space="0" w:color="FFFFFF"/>
            </w:tcBorders>
            <w:noWrap/>
          </w:tcPr>
          <w:p w14:paraId="091D2D62" w14:textId="77777777" w:rsidR="001F25B2" w:rsidRPr="003D565A" w:rsidRDefault="001F25B2" w:rsidP="004F297A">
            <w:pPr>
              <w:pStyle w:val="Tnumber"/>
              <w:keepNext/>
            </w:pPr>
            <w:r w:rsidRPr="003D565A">
              <w:t>&gt;100</w:t>
            </w:r>
          </w:p>
        </w:tc>
        <w:tc>
          <w:tcPr>
            <w:tcW w:w="1134" w:type="dxa"/>
            <w:tcBorders>
              <w:top w:val="single" w:sz="2" w:space="0" w:color="000000"/>
              <w:left w:val="single" w:sz="24" w:space="0" w:color="FFFFFF"/>
              <w:bottom w:val="single" w:sz="2" w:space="0" w:color="000000"/>
              <w:right w:val="single" w:sz="24" w:space="0" w:color="FFFFFF"/>
            </w:tcBorders>
            <w:noWrap/>
          </w:tcPr>
          <w:p w14:paraId="3F62B4BC" w14:textId="77777777" w:rsidR="001F25B2" w:rsidRPr="003D565A" w:rsidRDefault="001F25B2" w:rsidP="004F297A">
            <w:pPr>
              <w:pStyle w:val="Tnumber"/>
              <w:keepNext/>
            </w:pPr>
            <w:r w:rsidRPr="003D565A">
              <w:t>536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8BC699C" w14:textId="77777777" w:rsidR="001F25B2" w:rsidRPr="003D565A" w:rsidRDefault="001F25B2" w:rsidP="004F297A">
            <w:pPr>
              <w:pStyle w:val="Tnumber"/>
              <w:keepNext/>
            </w:pPr>
            <w:r w:rsidRPr="003D565A">
              <w:t>553</w:t>
            </w:r>
          </w:p>
        </w:tc>
        <w:tc>
          <w:tcPr>
            <w:tcW w:w="1134" w:type="dxa"/>
            <w:tcBorders>
              <w:top w:val="single" w:sz="2" w:space="0" w:color="000000"/>
              <w:left w:val="single" w:sz="24" w:space="0" w:color="FFFFFF"/>
              <w:bottom w:val="single" w:sz="2" w:space="0" w:color="000000"/>
            </w:tcBorders>
            <w:noWrap/>
          </w:tcPr>
          <w:p w14:paraId="7F2C734A" w14:textId="77777777" w:rsidR="001F25B2" w:rsidRPr="003D565A" w:rsidRDefault="001F25B2" w:rsidP="004F297A">
            <w:pPr>
              <w:pStyle w:val="Tnumber"/>
              <w:keepNext/>
            </w:pPr>
            <w:r w:rsidRPr="003D565A">
              <w:t>3,2</w:t>
            </w:r>
          </w:p>
        </w:tc>
      </w:tr>
      <w:tr w:rsidR="001F25B2" w:rsidRPr="003D565A" w14:paraId="2F94DCF5" w14:textId="77777777" w:rsidTr="001F25B2">
        <w:tc>
          <w:tcPr>
            <w:tcW w:w="3402" w:type="dxa"/>
            <w:tcBorders>
              <w:top w:val="single" w:sz="2" w:space="0" w:color="000000"/>
              <w:bottom w:val="single" w:sz="2" w:space="0" w:color="000000"/>
              <w:right w:val="single" w:sz="24" w:space="0" w:color="FFFFFF"/>
            </w:tcBorders>
            <w:noWrap/>
          </w:tcPr>
          <w:p w14:paraId="7C897503" w14:textId="77777777" w:rsidR="001F25B2" w:rsidRPr="003D565A" w:rsidRDefault="001F25B2" w:rsidP="004F297A">
            <w:pPr>
              <w:pStyle w:val="Ttext"/>
              <w:keepNext/>
            </w:pPr>
            <w:r w:rsidRPr="003D565A">
              <w:t>EBIT</w:t>
            </w:r>
          </w:p>
        </w:tc>
        <w:tc>
          <w:tcPr>
            <w:tcW w:w="1134" w:type="dxa"/>
            <w:tcBorders>
              <w:top w:val="single" w:sz="2" w:space="0" w:color="000000"/>
              <w:left w:val="single" w:sz="24" w:space="0" w:color="FFFFFF"/>
              <w:bottom w:val="single" w:sz="2" w:space="0" w:color="000000"/>
              <w:right w:val="single" w:sz="24" w:space="0" w:color="FFFFFF"/>
            </w:tcBorders>
            <w:noWrap/>
          </w:tcPr>
          <w:p w14:paraId="405AE66E" w14:textId="77777777" w:rsidR="001F25B2" w:rsidRPr="003D565A" w:rsidRDefault="001F25B2" w:rsidP="004F297A">
            <w:pPr>
              <w:pStyle w:val="Tnumber"/>
              <w:keepNext/>
            </w:pPr>
            <w:r w:rsidRPr="003D565A">
              <w:t>39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A46EAFD" w14:textId="77777777" w:rsidR="001F25B2" w:rsidRPr="003D565A" w:rsidRDefault="001F25B2" w:rsidP="004F297A">
            <w:pPr>
              <w:pStyle w:val="Tnumber"/>
              <w:keepNext/>
            </w:pPr>
            <w:r w:rsidRPr="003D565A">
              <w:t>143</w:t>
            </w:r>
          </w:p>
        </w:tc>
        <w:tc>
          <w:tcPr>
            <w:tcW w:w="1134" w:type="dxa"/>
            <w:tcBorders>
              <w:top w:val="single" w:sz="2" w:space="0" w:color="000000"/>
              <w:left w:val="single" w:sz="24" w:space="0" w:color="FFFFFF"/>
              <w:bottom w:val="single" w:sz="2" w:space="0" w:color="000000"/>
              <w:right w:val="single" w:sz="24" w:space="0" w:color="FFFFFF"/>
            </w:tcBorders>
            <w:noWrap/>
          </w:tcPr>
          <w:p w14:paraId="0DB1F4BC" w14:textId="77777777" w:rsidR="001F25B2" w:rsidRPr="003D565A" w:rsidRDefault="001F25B2" w:rsidP="004F297A">
            <w:pPr>
              <w:pStyle w:val="Tnumber"/>
              <w:keepNext/>
            </w:pPr>
            <w:r w:rsidRPr="003D565A">
              <w:t>&gt;200</w:t>
            </w:r>
          </w:p>
        </w:tc>
        <w:tc>
          <w:tcPr>
            <w:tcW w:w="1134" w:type="dxa"/>
            <w:tcBorders>
              <w:top w:val="single" w:sz="2" w:space="0" w:color="000000"/>
              <w:left w:val="single" w:sz="24" w:space="0" w:color="FFFFFF"/>
              <w:bottom w:val="single" w:sz="2" w:space="0" w:color="000000"/>
              <w:right w:val="single" w:sz="24" w:space="0" w:color="FFFFFF"/>
            </w:tcBorders>
            <w:noWrap/>
          </w:tcPr>
          <w:p w14:paraId="7F06777B" w14:textId="77777777" w:rsidR="001F25B2" w:rsidRPr="003D565A" w:rsidRDefault="001F25B2" w:rsidP="004F297A">
            <w:pPr>
              <w:pStyle w:val="Tnumber"/>
              <w:keepNext/>
            </w:pPr>
            <w:r w:rsidRPr="003D565A">
              <w:t>300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622A9D0" w14:textId="77777777" w:rsidR="001F25B2" w:rsidRPr="003D565A" w:rsidRDefault="001F25B2" w:rsidP="004F297A">
            <w:pPr>
              <w:pStyle w:val="Tnumber"/>
              <w:keepNext/>
            </w:pPr>
            <w:r w:rsidRPr="003D565A">
              <w:t>332</w:t>
            </w:r>
          </w:p>
        </w:tc>
        <w:tc>
          <w:tcPr>
            <w:tcW w:w="1134" w:type="dxa"/>
            <w:tcBorders>
              <w:top w:val="single" w:sz="2" w:space="0" w:color="000000"/>
              <w:left w:val="single" w:sz="24" w:space="0" w:color="FFFFFF"/>
              <w:bottom w:val="single" w:sz="2" w:space="0" w:color="000000"/>
            </w:tcBorders>
            <w:noWrap/>
          </w:tcPr>
          <w:p w14:paraId="6AD95B6A" w14:textId="77777777" w:rsidR="001F25B2" w:rsidRPr="003D565A" w:rsidRDefault="001F25B2" w:rsidP="004F297A">
            <w:pPr>
              <w:pStyle w:val="Tnumber"/>
              <w:keepNext/>
            </w:pPr>
            <w:r w:rsidRPr="003D565A">
              <w:t>10,7</w:t>
            </w:r>
          </w:p>
        </w:tc>
      </w:tr>
      <w:tr w:rsidR="001F25B2" w:rsidRPr="003D565A" w14:paraId="6355918B" w14:textId="77777777" w:rsidTr="001F25B2">
        <w:tc>
          <w:tcPr>
            <w:tcW w:w="3402" w:type="dxa"/>
            <w:tcBorders>
              <w:top w:val="single" w:sz="2" w:space="0" w:color="000000"/>
              <w:bottom w:val="single" w:sz="2" w:space="0" w:color="000000"/>
              <w:right w:val="single" w:sz="24" w:space="0" w:color="FFFFFF"/>
            </w:tcBorders>
          </w:tcPr>
          <w:p w14:paraId="7CED68C2" w14:textId="77777777" w:rsidR="001F25B2" w:rsidRPr="003D565A" w:rsidRDefault="001F25B2" w:rsidP="004F297A">
            <w:pPr>
              <w:pStyle w:val="Ttext"/>
              <w:keepNext/>
            </w:pPr>
            <w:r w:rsidRPr="003D565A">
              <w:t>Free Operating Cash Flow</w:t>
            </w:r>
          </w:p>
        </w:tc>
        <w:tc>
          <w:tcPr>
            <w:tcW w:w="1134" w:type="dxa"/>
            <w:tcBorders>
              <w:top w:val="single" w:sz="2" w:space="0" w:color="000000"/>
              <w:left w:val="single" w:sz="24" w:space="0" w:color="FFFFFF"/>
              <w:bottom w:val="single" w:sz="2" w:space="0" w:color="000000"/>
              <w:right w:val="single" w:sz="24" w:space="0" w:color="FFFFFF"/>
            </w:tcBorders>
            <w:noWrap/>
          </w:tcPr>
          <w:p w14:paraId="3AD8DECD" w14:textId="77777777" w:rsidR="001F25B2" w:rsidRPr="003D565A" w:rsidRDefault="001F25B2" w:rsidP="004F297A">
            <w:pPr>
              <w:pStyle w:val="Tnumber"/>
              <w:keepNext/>
            </w:pPr>
            <w:r w:rsidRPr="003D565A">
              <w:t>120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CE82FEC" w14:textId="77777777" w:rsidR="001F25B2" w:rsidRPr="003D565A" w:rsidRDefault="001F25B2" w:rsidP="004F297A">
            <w:pPr>
              <w:pStyle w:val="Tnumber"/>
              <w:keepNext/>
            </w:pPr>
            <w:r w:rsidRPr="003D565A">
              <w:t>117</w:t>
            </w:r>
          </w:p>
        </w:tc>
        <w:tc>
          <w:tcPr>
            <w:tcW w:w="1134" w:type="dxa"/>
            <w:tcBorders>
              <w:top w:val="single" w:sz="2" w:space="0" w:color="000000"/>
              <w:left w:val="single" w:sz="24" w:space="0" w:color="FFFFFF"/>
              <w:bottom w:val="single" w:sz="2" w:space="0" w:color="000000"/>
              <w:right w:val="single" w:sz="24" w:space="0" w:color="FFFFFF"/>
            </w:tcBorders>
            <w:noWrap/>
          </w:tcPr>
          <w:p w14:paraId="62833538" w14:textId="77777777" w:rsidR="001F25B2" w:rsidRPr="003D565A" w:rsidRDefault="001F25B2" w:rsidP="004F297A">
            <w:pPr>
              <w:pStyle w:val="Tnumber"/>
              <w:keepNext/>
            </w:pPr>
            <w:r w:rsidRPr="003D565A">
              <w:t>– 2,5</w:t>
            </w:r>
          </w:p>
        </w:tc>
        <w:tc>
          <w:tcPr>
            <w:tcW w:w="1134" w:type="dxa"/>
            <w:tcBorders>
              <w:top w:val="single" w:sz="2" w:space="0" w:color="000000"/>
              <w:left w:val="single" w:sz="24" w:space="0" w:color="FFFFFF"/>
              <w:bottom w:val="single" w:sz="2" w:space="0" w:color="000000"/>
              <w:right w:val="single" w:sz="24" w:space="0" w:color="FFFFFF"/>
            </w:tcBorders>
            <w:noWrap/>
          </w:tcPr>
          <w:p w14:paraId="5E9D7FEE" w14:textId="77777777" w:rsidR="001F25B2" w:rsidRPr="003D565A" w:rsidRDefault="001F25B2" w:rsidP="004F297A">
            <w:pPr>
              <w:pStyle w:val="Tnumber"/>
              <w:keepNext/>
            </w:pPr>
            <w:r w:rsidRPr="003D565A">
              <w:t>404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B41BE74" w14:textId="77777777" w:rsidR="001F25B2" w:rsidRPr="003D565A" w:rsidRDefault="001F25B2" w:rsidP="004F297A">
            <w:pPr>
              <w:pStyle w:val="Tnumber"/>
              <w:keepNext/>
            </w:pPr>
            <w:r w:rsidRPr="003D565A">
              <w:t>327</w:t>
            </w:r>
          </w:p>
        </w:tc>
        <w:tc>
          <w:tcPr>
            <w:tcW w:w="1134" w:type="dxa"/>
            <w:tcBorders>
              <w:top w:val="single" w:sz="2" w:space="0" w:color="000000"/>
              <w:left w:val="single" w:sz="24" w:space="0" w:color="FFFFFF"/>
              <w:bottom w:val="single" w:sz="2" w:space="0" w:color="000000"/>
            </w:tcBorders>
            <w:noWrap/>
          </w:tcPr>
          <w:p w14:paraId="04343EB0" w14:textId="77777777" w:rsidR="001F25B2" w:rsidRPr="003D565A" w:rsidRDefault="001F25B2" w:rsidP="004F297A">
            <w:pPr>
              <w:pStyle w:val="Tnumber"/>
              <w:keepNext/>
            </w:pPr>
            <w:r w:rsidRPr="003D565A">
              <w:t>– 19,1</w:t>
            </w:r>
          </w:p>
        </w:tc>
      </w:tr>
      <w:tr w:rsidR="001F25B2" w:rsidRPr="003D565A" w14:paraId="4E116F51" w14:textId="77777777" w:rsidTr="001F25B2">
        <w:tc>
          <w:tcPr>
            <w:tcW w:w="3402" w:type="dxa"/>
            <w:tcBorders>
              <w:top w:val="single" w:sz="2" w:space="0" w:color="000000"/>
              <w:bottom w:val="single" w:sz="2" w:space="0" w:color="000000"/>
              <w:right w:val="single" w:sz="24" w:space="0" w:color="FFFFFF"/>
            </w:tcBorders>
          </w:tcPr>
          <w:p w14:paraId="64BD76C2" w14:textId="77777777" w:rsidR="001F25B2" w:rsidRPr="003D565A" w:rsidRDefault="001F25B2" w:rsidP="004F297A">
            <w:pPr>
              <w:pStyle w:val="TDummy"/>
              <w:keepNext/>
            </w:pPr>
            <w:bookmarkStart w:id="17" w:name="RANGE!B52:J52"/>
            <w:r w:rsidRPr="003D565A">
              <w:t> </w:t>
            </w:r>
            <w:bookmarkEnd w:id="17"/>
          </w:p>
        </w:tc>
        <w:tc>
          <w:tcPr>
            <w:tcW w:w="1134" w:type="dxa"/>
            <w:tcBorders>
              <w:top w:val="single" w:sz="2" w:space="0" w:color="000000"/>
              <w:left w:val="single" w:sz="24" w:space="0" w:color="FFFFFF"/>
              <w:bottom w:val="single" w:sz="2" w:space="0" w:color="000000"/>
              <w:right w:val="single" w:sz="24" w:space="0" w:color="FFFFFF"/>
            </w:tcBorders>
          </w:tcPr>
          <w:p w14:paraId="5381D494"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6C52562"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4437DE7E"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2E5F62F6"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C645362" w14:textId="77777777" w:rsidR="001F25B2" w:rsidRPr="003D565A" w:rsidRDefault="001F25B2" w:rsidP="004F297A">
            <w:pPr>
              <w:pStyle w:val="TDummy"/>
              <w:keepNext/>
            </w:pPr>
            <w:r w:rsidRPr="003D565A">
              <w:t> </w:t>
            </w:r>
          </w:p>
        </w:tc>
        <w:tc>
          <w:tcPr>
            <w:tcW w:w="1134" w:type="dxa"/>
            <w:tcBorders>
              <w:top w:val="single" w:sz="2" w:space="0" w:color="000000"/>
              <w:left w:val="single" w:sz="24" w:space="0" w:color="FFFFFF"/>
              <w:bottom w:val="single" w:sz="2" w:space="0" w:color="000000"/>
            </w:tcBorders>
            <w:noWrap/>
          </w:tcPr>
          <w:p w14:paraId="4FDF8C2D" w14:textId="77777777" w:rsidR="001F25B2" w:rsidRPr="003D565A" w:rsidRDefault="001F25B2" w:rsidP="004F297A">
            <w:pPr>
              <w:pStyle w:val="TDummy"/>
              <w:keepNext/>
            </w:pPr>
            <w:r w:rsidRPr="003D565A">
              <w:t> </w:t>
            </w:r>
          </w:p>
        </w:tc>
      </w:tr>
      <w:tr w:rsidR="001F25B2" w:rsidRPr="003D565A" w14:paraId="4626FDC1" w14:textId="77777777" w:rsidTr="001F25B2">
        <w:tc>
          <w:tcPr>
            <w:tcW w:w="3402" w:type="dxa"/>
            <w:tcBorders>
              <w:top w:val="single" w:sz="2" w:space="0" w:color="000000"/>
              <w:bottom w:val="single" w:sz="2" w:space="0" w:color="000000"/>
              <w:right w:val="single" w:sz="24" w:space="0" w:color="FFFFFF"/>
            </w:tcBorders>
            <w:shd w:val="clear" w:color="000000" w:fill="80CFF2"/>
          </w:tcPr>
          <w:p w14:paraId="0DE84F85" w14:textId="77777777" w:rsidR="001F25B2" w:rsidRPr="003D565A" w:rsidRDefault="001F25B2" w:rsidP="004F297A">
            <w:pPr>
              <w:pStyle w:val="Ttextbold"/>
              <w:keepNext/>
            </w:pPr>
            <w:bookmarkStart w:id="18" w:name="RANGE!B53:J53"/>
            <w:r w:rsidRPr="003D565A">
              <w:t>Coatings, Adhesives, Specialties</w:t>
            </w:r>
            <w:bookmarkEnd w:id="18"/>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243F53AC"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2C79A35C"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7CCAE6"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3B80C886"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69996E4" w14:textId="77777777" w:rsidR="001F25B2" w:rsidRPr="003D565A" w:rsidRDefault="001F25B2" w:rsidP="004F297A">
            <w:pPr>
              <w:pStyle w:val="Tnumberbold"/>
              <w:keepNext/>
            </w:pPr>
            <w:r w:rsidRPr="003D565A">
              <w:t> </w:t>
            </w:r>
          </w:p>
        </w:tc>
        <w:tc>
          <w:tcPr>
            <w:tcW w:w="1134" w:type="dxa"/>
            <w:tcBorders>
              <w:top w:val="single" w:sz="2" w:space="0" w:color="000000"/>
              <w:left w:val="single" w:sz="24" w:space="0" w:color="FFFFFF"/>
              <w:bottom w:val="single" w:sz="2" w:space="0" w:color="000000"/>
            </w:tcBorders>
            <w:shd w:val="clear" w:color="000000" w:fill="80CFF2"/>
            <w:noWrap/>
          </w:tcPr>
          <w:p w14:paraId="5D3E9D57" w14:textId="77777777" w:rsidR="001F25B2" w:rsidRPr="003D565A" w:rsidRDefault="001F25B2" w:rsidP="004F297A">
            <w:pPr>
              <w:pStyle w:val="Tnumberbold"/>
              <w:keepNext/>
            </w:pPr>
            <w:r w:rsidRPr="003D565A">
              <w:t> </w:t>
            </w:r>
          </w:p>
        </w:tc>
      </w:tr>
      <w:tr w:rsidR="001F25B2" w:rsidRPr="003D565A" w14:paraId="6332CFA1" w14:textId="77777777" w:rsidTr="001F25B2">
        <w:tc>
          <w:tcPr>
            <w:tcW w:w="3402" w:type="dxa"/>
            <w:tcBorders>
              <w:top w:val="single" w:sz="2" w:space="0" w:color="000000"/>
              <w:bottom w:val="single" w:sz="2" w:space="0" w:color="000000"/>
              <w:right w:val="single" w:sz="24" w:space="0" w:color="FFFFFF"/>
            </w:tcBorders>
            <w:noWrap/>
          </w:tcPr>
          <w:p w14:paraId="60E1A536" w14:textId="77777777" w:rsidR="001F25B2" w:rsidRPr="003D565A" w:rsidRDefault="001F25B2" w:rsidP="004F297A">
            <w:pPr>
              <w:pStyle w:val="Ttext"/>
              <w:keepNext/>
            </w:pPr>
            <w:proofErr w:type="spellStart"/>
            <w:r w:rsidRPr="003D565A">
              <w:t>Mengenwachstum</w:t>
            </w:r>
            <w:proofErr w:type="spellEnd"/>
            <w:r w:rsidRPr="003D565A">
              <w:t xml:space="preserve"> </w:t>
            </w:r>
            <w:proofErr w:type="spellStart"/>
            <w:r w:rsidRPr="003D565A">
              <w:t>im</w:t>
            </w:r>
            <w:proofErr w:type="spellEnd"/>
            <w:r w:rsidRPr="003D565A">
              <w:t xml:space="preserve"> </w:t>
            </w:r>
            <w:proofErr w:type="spellStart"/>
            <w:r w:rsidRPr="003D565A">
              <w:t>Kerngeschäft</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4B8BE920" w14:textId="77777777" w:rsidR="001F25B2" w:rsidRPr="003D565A" w:rsidRDefault="001F25B2" w:rsidP="004F297A">
            <w:pPr>
              <w:pStyle w:val="Tnumber"/>
              <w:keepNext/>
            </w:pPr>
            <w:r w:rsidRPr="003D565A">
              <w:t>6,2 %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7B48AA" w14:textId="77777777" w:rsidR="001F25B2" w:rsidRPr="003D565A" w:rsidRDefault="001F25B2" w:rsidP="004F297A">
            <w:pPr>
              <w:pStyle w:val="Tnumber"/>
              <w:keepNext/>
            </w:pPr>
            <w:r w:rsidRPr="003D565A">
              <w:t>2,8 %</w:t>
            </w:r>
          </w:p>
        </w:tc>
        <w:tc>
          <w:tcPr>
            <w:tcW w:w="1134" w:type="dxa"/>
            <w:tcBorders>
              <w:top w:val="single" w:sz="2" w:space="0" w:color="000000"/>
              <w:left w:val="single" w:sz="24" w:space="0" w:color="FFFFFF"/>
              <w:bottom w:val="single" w:sz="2" w:space="0" w:color="000000"/>
              <w:right w:val="single" w:sz="24" w:space="0" w:color="FFFFFF"/>
            </w:tcBorders>
            <w:noWrap/>
          </w:tcPr>
          <w:p w14:paraId="019F8C03"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60CAF1EE" w14:textId="77777777" w:rsidR="001F25B2" w:rsidRPr="003D565A" w:rsidRDefault="001F25B2" w:rsidP="004F297A">
            <w:pPr>
              <w:pStyle w:val="Tnumber"/>
              <w:keepNext/>
            </w:pPr>
            <w:r w:rsidRPr="003D565A">
              <w:t>– 1,0 %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4B0230F" w14:textId="77777777" w:rsidR="001F25B2" w:rsidRPr="003D565A" w:rsidRDefault="001F25B2" w:rsidP="004F297A">
            <w:pPr>
              <w:pStyle w:val="Tnumber"/>
              <w:keepNext/>
            </w:pPr>
            <w:r w:rsidRPr="003D565A">
              <w:t>– 8,9 %</w:t>
            </w:r>
          </w:p>
        </w:tc>
        <w:tc>
          <w:tcPr>
            <w:tcW w:w="1134" w:type="dxa"/>
            <w:tcBorders>
              <w:top w:val="single" w:sz="2" w:space="0" w:color="000000"/>
              <w:left w:val="single" w:sz="24" w:space="0" w:color="FFFFFF"/>
              <w:bottom w:val="single" w:sz="2" w:space="0" w:color="000000"/>
            </w:tcBorders>
            <w:noWrap/>
          </w:tcPr>
          <w:p w14:paraId="543DD575" w14:textId="77777777" w:rsidR="001F25B2" w:rsidRPr="003D565A" w:rsidRDefault="001F25B2" w:rsidP="004F297A">
            <w:pPr>
              <w:pStyle w:val="Tnumber"/>
              <w:keepNext/>
            </w:pPr>
            <w:r w:rsidRPr="003D565A">
              <w:t> </w:t>
            </w:r>
          </w:p>
        </w:tc>
      </w:tr>
      <w:tr w:rsidR="001F25B2" w:rsidRPr="003D565A" w14:paraId="52E7F57B" w14:textId="77777777" w:rsidTr="001F25B2">
        <w:tc>
          <w:tcPr>
            <w:tcW w:w="3402" w:type="dxa"/>
            <w:tcBorders>
              <w:top w:val="single" w:sz="2" w:space="0" w:color="000000"/>
              <w:bottom w:val="single" w:sz="2" w:space="0" w:color="000000"/>
              <w:right w:val="single" w:sz="24" w:space="0" w:color="FFFFFF"/>
            </w:tcBorders>
            <w:noWrap/>
          </w:tcPr>
          <w:p w14:paraId="2F54436F" w14:textId="77777777" w:rsidR="001F25B2" w:rsidRPr="003D565A" w:rsidRDefault="001F25B2" w:rsidP="004F297A">
            <w:pPr>
              <w:pStyle w:val="Ttext"/>
              <w:keepNext/>
            </w:pPr>
            <w:proofErr w:type="spellStart"/>
            <w:r w:rsidRPr="003D565A">
              <w:t>Umsatzerlöse</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4EABBB09" w14:textId="77777777" w:rsidR="001F25B2" w:rsidRPr="003D565A" w:rsidRDefault="001F25B2" w:rsidP="004F297A">
            <w:pPr>
              <w:pStyle w:val="Tnumber"/>
              <w:keepNext/>
            </w:pPr>
            <w:r w:rsidRPr="003D565A">
              <w:t>533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D332D93" w14:textId="77777777" w:rsidR="001F25B2" w:rsidRPr="003D565A" w:rsidRDefault="001F25B2" w:rsidP="004F297A">
            <w:pPr>
              <w:pStyle w:val="Tnumber"/>
              <w:keepNext/>
            </w:pPr>
            <w:r w:rsidRPr="003D565A">
              <w:t>529</w:t>
            </w:r>
          </w:p>
        </w:tc>
        <w:tc>
          <w:tcPr>
            <w:tcW w:w="1134" w:type="dxa"/>
            <w:tcBorders>
              <w:top w:val="single" w:sz="2" w:space="0" w:color="000000"/>
              <w:left w:val="single" w:sz="24" w:space="0" w:color="FFFFFF"/>
              <w:bottom w:val="single" w:sz="2" w:space="0" w:color="000000"/>
              <w:right w:val="single" w:sz="24" w:space="0" w:color="FFFFFF"/>
            </w:tcBorders>
            <w:noWrap/>
          </w:tcPr>
          <w:p w14:paraId="1F682A0F" w14:textId="77777777" w:rsidR="001F25B2" w:rsidRPr="003D565A" w:rsidRDefault="001F25B2" w:rsidP="004F297A">
            <w:pPr>
              <w:pStyle w:val="Tnumber"/>
              <w:keepNext/>
            </w:pPr>
            <w:r w:rsidRPr="003D565A">
              <w:t>– 0,8</w:t>
            </w:r>
          </w:p>
        </w:tc>
        <w:tc>
          <w:tcPr>
            <w:tcW w:w="1134" w:type="dxa"/>
            <w:tcBorders>
              <w:top w:val="single" w:sz="2" w:space="0" w:color="000000"/>
              <w:left w:val="single" w:sz="24" w:space="0" w:color="FFFFFF"/>
              <w:bottom w:val="single" w:sz="2" w:space="0" w:color="000000"/>
              <w:right w:val="single" w:sz="24" w:space="0" w:color="FFFFFF"/>
            </w:tcBorders>
            <w:noWrap/>
          </w:tcPr>
          <w:p w14:paraId="7A224A20" w14:textId="77777777" w:rsidR="001F25B2" w:rsidRPr="003D565A" w:rsidRDefault="001F25B2" w:rsidP="004F297A">
            <w:pPr>
              <w:pStyle w:val="Tnumber"/>
              <w:keepNext/>
            </w:pPr>
            <w:r w:rsidRPr="003D565A">
              <w:t>2.369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082B52C" w14:textId="77777777" w:rsidR="001F25B2" w:rsidRPr="003D565A" w:rsidRDefault="001F25B2" w:rsidP="004F297A">
            <w:pPr>
              <w:pStyle w:val="Tnumber"/>
              <w:keepNext/>
            </w:pPr>
            <w:r w:rsidRPr="003D565A">
              <w:t>2.039</w:t>
            </w:r>
          </w:p>
        </w:tc>
        <w:tc>
          <w:tcPr>
            <w:tcW w:w="1134" w:type="dxa"/>
            <w:tcBorders>
              <w:top w:val="single" w:sz="2" w:space="0" w:color="000000"/>
              <w:left w:val="single" w:sz="24" w:space="0" w:color="FFFFFF"/>
              <w:bottom w:val="single" w:sz="2" w:space="0" w:color="000000"/>
            </w:tcBorders>
            <w:noWrap/>
          </w:tcPr>
          <w:p w14:paraId="016D2318" w14:textId="77777777" w:rsidR="001F25B2" w:rsidRPr="003D565A" w:rsidRDefault="001F25B2" w:rsidP="004F297A">
            <w:pPr>
              <w:pStyle w:val="Tnumber"/>
              <w:keepNext/>
            </w:pPr>
            <w:r w:rsidRPr="003D565A">
              <w:t>– 13,9</w:t>
            </w:r>
          </w:p>
        </w:tc>
      </w:tr>
      <w:tr w:rsidR="001F25B2" w:rsidRPr="003D565A" w14:paraId="24078980" w14:textId="77777777" w:rsidTr="001F25B2">
        <w:tc>
          <w:tcPr>
            <w:tcW w:w="3402" w:type="dxa"/>
            <w:tcBorders>
              <w:top w:val="single" w:sz="2" w:space="0" w:color="000000"/>
              <w:bottom w:val="single" w:sz="2" w:space="0" w:color="000000"/>
              <w:right w:val="single" w:sz="24" w:space="0" w:color="FFFFFF"/>
            </w:tcBorders>
            <w:noWrap/>
          </w:tcPr>
          <w:p w14:paraId="27C15E81" w14:textId="77777777" w:rsidR="001F25B2" w:rsidRPr="003D565A" w:rsidRDefault="001F25B2" w:rsidP="004F297A">
            <w:pPr>
              <w:pStyle w:val="Ttext"/>
              <w:keepNext/>
            </w:pPr>
            <w:proofErr w:type="spellStart"/>
            <w:r w:rsidRPr="003D565A">
              <w:t>Umsatzveränderungen</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4053529B"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794D2AF"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03635D44"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15FDBD71"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2595352"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tcBorders>
            <w:noWrap/>
          </w:tcPr>
          <w:p w14:paraId="77DE3E43" w14:textId="77777777" w:rsidR="001F25B2" w:rsidRPr="003D565A" w:rsidRDefault="001F25B2" w:rsidP="004F297A">
            <w:pPr>
              <w:pStyle w:val="Tnumber"/>
              <w:keepNext/>
            </w:pPr>
            <w:r w:rsidRPr="003D565A">
              <w:t> </w:t>
            </w:r>
          </w:p>
        </w:tc>
      </w:tr>
      <w:tr w:rsidR="001F25B2" w:rsidRPr="003D565A" w14:paraId="67083FC4" w14:textId="77777777" w:rsidTr="001F25B2">
        <w:tc>
          <w:tcPr>
            <w:tcW w:w="3402" w:type="dxa"/>
            <w:tcBorders>
              <w:top w:val="single" w:sz="2" w:space="0" w:color="000000"/>
              <w:bottom w:val="single" w:sz="2" w:space="0" w:color="000000"/>
              <w:right w:val="single" w:sz="24" w:space="0" w:color="FFFFFF"/>
            </w:tcBorders>
            <w:noWrap/>
          </w:tcPr>
          <w:p w14:paraId="5032C266" w14:textId="77777777" w:rsidR="001F25B2" w:rsidRPr="003D565A" w:rsidRDefault="001F25B2" w:rsidP="004F297A">
            <w:pPr>
              <w:pStyle w:val="Ttextindent1"/>
              <w:keepNext/>
            </w:pPr>
            <w:bookmarkStart w:id="19" w:name="RANGE!B57:B60"/>
            <w:proofErr w:type="spellStart"/>
            <w:r w:rsidRPr="003D565A">
              <w:t>Menge</w:t>
            </w:r>
            <w:bookmarkEnd w:id="19"/>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4658A729" w14:textId="77777777" w:rsidR="001F25B2" w:rsidRPr="003D565A" w:rsidRDefault="001F25B2" w:rsidP="004F297A">
            <w:pPr>
              <w:pStyle w:val="Tnumber"/>
              <w:keepNext/>
            </w:pPr>
            <w:r w:rsidRPr="003D565A">
              <w:t>0,1 %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2119D25" w14:textId="77777777" w:rsidR="001F25B2" w:rsidRPr="003D565A" w:rsidRDefault="001F25B2" w:rsidP="004F297A">
            <w:pPr>
              <w:pStyle w:val="Tnumber"/>
              <w:keepNext/>
            </w:pPr>
            <w:r w:rsidRPr="003D565A">
              <w:t>7,5 %</w:t>
            </w:r>
          </w:p>
        </w:tc>
        <w:tc>
          <w:tcPr>
            <w:tcW w:w="1134" w:type="dxa"/>
            <w:tcBorders>
              <w:top w:val="single" w:sz="2" w:space="0" w:color="000000"/>
              <w:left w:val="single" w:sz="24" w:space="0" w:color="FFFFFF"/>
              <w:bottom w:val="single" w:sz="2" w:space="0" w:color="000000"/>
              <w:right w:val="single" w:sz="24" w:space="0" w:color="FFFFFF"/>
            </w:tcBorders>
            <w:noWrap/>
          </w:tcPr>
          <w:p w14:paraId="08C678B3"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41111FDA" w14:textId="77777777" w:rsidR="001F25B2" w:rsidRPr="003D565A" w:rsidRDefault="001F25B2" w:rsidP="004F297A">
            <w:pPr>
              <w:pStyle w:val="Tnumber"/>
              <w:keepNext/>
            </w:pPr>
            <w:r w:rsidRPr="003D565A">
              <w:t>– 2,1 %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8FFCA35" w14:textId="77777777" w:rsidR="001F25B2" w:rsidRPr="003D565A" w:rsidRDefault="001F25B2" w:rsidP="004F297A">
            <w:pPr>
              <w:pStyle w:val="Tnumber"/>
              <w:keepNext/>
            </w:pPr>
            <w:r w:rsidRPr="003D565A">
              <w:t>– 9,0 %</w:t>
            </w:r>
          </w:p>
        </w:tc>
        <w:tc>
          <w:tcPr>
            <w:tcW w:w="1134" w:type="dxa"/>
            <w:tcBorders>
              <w:top w:val="single" w:sz="2" w:space="0" w:color="000000"/>
              <w:left w:val="single" w:sz="24" w:space="0" w:color="FFFFFF"/>
              <w:bottom w:val="single" w:sz="2" w:space="0" w:color="000000"/>
            </w:tcBorders>
            <w:noWrap/>
          </w:tcPr>
          <w:p w14:paraId="17FD2F32" w14:textId="77777777" w:rsidR="001F25B2" w:rsidRPr="003D565A" w:rsidRDefault="001F25B2" w:rsidP="004F297A">
            <w:pPr>
              <w:pStyle w:val="Tnumber"/>
              <w:keepNext/>
            </w:pPr>
            <w:r w:rsidRPr="003D565A">
              <w:t> </w:t>
            </w:r>
          </w:p>
        </w:tc>
      </w:tr>
      <w:tr w:rsidR="001F25B2" w:rsidRPr="003D565A" w14:paraId="3D95F6B5" w14:textId="77777777" w:rsidTr="001F25B2">
        <w:tc>
          <w:tcPr>
            <w:tcW w:w="3402" w:type="dxa"/>
            <w:tcBorders>
              <w:top w:val="single" w:sz="2" w:space="0" w:color="000000"/>
              <w:bottom w:val="single" w:sz="2" w:space="0" w:color="000000"/>
              <w:right w:val="single" w:sz="24" w:space="0" w:color="FFFFFF"/>
            </w:tcBorders>
            <w:noWrap/>
          </w:tcPr>
          <w:p w14:paraId="428341A8" w14:textId="77777777" w:rsidR="001F25B2" w:rsidRPr="003D565A" w:rsidRDefault="001F25B2" w:rsidP="004F297A">
            <w:pPr>
              <w:pStyle w:val="Ttextindent1"/>
              <w:keepNext/>
            </w:pPr>
            <w:proofErr w:type="spellStart"/>
            <w:r w:rsidRPr="003D565A">
              <w:t>Preis</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407AA2BF" w14:textId="77777777" w:rsidR="001F25B2" w:rsidRPr="003D565A" w:rsidRDefault="001F25B2" w:rsidP="004F297A">
            <w:pPr>
              <w:pStyle w:val="Tnumber"/>
              <w:keepNext/>
            </w:pPr>
            <w:r w:rsidRPr="003D565A">
              <w:t>– 4,2 %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BC255A0" w14:textId="77777777" w:rsidR="001F25B2" w:rsidRPr="003D565A" w:rsidRDefault="001F25B2" w:rsidP="004F297A">
            <w:pPr>
              <w:pStyle w:val="Tnumber"/>
              <w:keepNext/>
            </w:pPr>
            <w:r w:rsidRPr="003D565A">
              <w:t>– 4,9 %</w:t>
            </w:r>
          </w:p>
        </w:tc>
        <w:tc>
          <w:tcPr>
            <w:tcW w:w="1134" w:type="dxa"/>
            <w:tcBorders>
              <w:top w:val="single" w:sz="2" w:space="0" w:color="000000"/>
              <w:left w:val="single" w:sz="24" w:space="0" w:color="FFFFFF"/>
              <w:bottom w:val="single" w:sz="2" w:space="0" w:color="000000"/>
              <w:right w:val="single" w:sz="24" w:space="0" w:color="FFFFFF"/>
            </w:tcBorders>
            <w:noWrap/>
          </w:tcPr>
          <w:p w14:paraId="295BA59B"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3BECF3EA" w14:textId="77777777" w:rsidR="001F25B2" w:rsidRPr="003D565A" w:rsidRDefault="001F25B2" w:rsidP="004F297A">
            <w:pPr>
              <w:pStyle w:val="Tnumber"/>
              <w:keepNext/>
            </w:pPr>
            <w:r w:rsidRPr="003D565A">
              <w:t>– 1,1 %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C56323A" w14:textId="77777777" w:rsidR="001F25B2" w:rsidRPr="003D565A" w:rsidRDefault="001F25B2" w:rsidP="004F297A">
            <w:pPr>
              <w:pStyle w:val="Tnumber"/>
              <w:keepNext/>
            </w:pPr>
            <w:r w:rsidRPr="003D565A">
              <w:t>– 4,2 %</w:t>
            </w:r>
          </w:p>
        </w:tc>
        <w:tc>
          <w:tcPr>
            <w:tcW w:w="1134" w:type="dxa"/>
            <w:tcBorders>
              <w:top w:val="single" w:sz="2" w:space="0" w:color="000000"/>
              <w:left w:val="single" w:sz="24" w:space="0" w:color="FFFFFF"/>
              <w:bottom w:val="single" w:sz="2" w:space="0" w:color="000000"/>
            </w:tcBorders>
            <w:noWrap/>
          </w:tcPr>
          <w:p w14:paraId="61D182DB" w14:textId="77777777" w:rsidR="001F25B2" w:rsidRPr="003D565A" w:rsidRDefault="001F25B2" w:rsidP="004F297A">
            <w:pPr>
              <w:pStyle w:val="Tnumber"/>
              <w:keepNext/>
            </w:pPr>
            <w:r w:rsidRPr="003D565A">
              <w:t> </w:t>
            </w:r>
          </w:p>
        </w:tc>
      </w:tr>
      <w:tr w:rsidR="001F25B2" w:rsidRPr="003D565A" w14:paraId="350FB419" w14:textId="77777777" w:rsidTr="001F25B2">
        <w:tc>
          <w:tcPr>
            <w:tcW w:w="3402" w:type="dxa"/>
            <w:tcBorders>
              <w:top w:val="single" w:sz="2" w:space="0" w:color="000000"/>
              <w:bottom w:val="single" w:sz="2" w:space="0" w:color="000000"/>
              <w:right w:val="single" w:sz="24" w:space="0" w:color="FFFFFF"/>
            </w:tcBorders>
            <w:noWrap/>
          </w:tcPr>
          <w:p w14:paraId="3D264DDA" w14:textId="77777777" w:rsidR="001F25B2" w:rsidRPr="003D565A" w:rsidRDefault="001F25B2" w:rsidP="004F297A">
            <w:pPr>
              <w:pStyle w:val="Ttextindent1"/>
              <w:keepNext/>
            </w:pPr>
            <w:proofErr w:type="spellStart"/>
            <w:r w:rsidRPr="003D565A">
              <w:t>Währung</w:t>
            </w:r>
            <w:proofErr w:type="spellEnd"/>
          </w:p>
        </w:tc>
        <w:tc>
          <w:tcPr>
            <w:tcW w:w="1134" w:type="dxa"/>
            <w:tcBorders>
              <w:top w:val="single" w:sz="2" w:space="0" w:color="000000"/>
              <w:left w:val="single" w:sz="24" w:space="0" w:color="FFFFFF"/>
              <w:bottom w:val="single" w:sz="2" w:space="0" w:color="000000"/>
              <w:right w:val="single" w:sz="24" w:space="0" w:color="FFFFFF"/>
            </w:tcBorders>
            <w:noWrap/>
          </w:tcPr>
          <w:p w14:paraId="018584B5" w14:textId="77777777" w:rsidR="001F25B2" w:rsidRPr="003D565A" w:rsidRDefault="001F25B2" w:rsidP="004F297A">
            <w:pPr>
              <w:pStyle w:val="Tnumber"/>
              <w:keepNext/>
            </w:pPr>
            <w:r w:rsidRPr="003D565A">
              <w:t>1,9 %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A40C56E" w14:textId="77777777" w:rsidR="001F25B2" w:rsidRPr="003D565A" w:rsidRDefault="001F25B2" w:rsidP="004F297A">
            <w:pPr>
              <w:pStyle w:val="Tnumber"/>
              <w:keepNext/>
            </w:pPr>
            <w:r w:rsidRPr="003D565A">
              <w:t>– 3,4 %</w:t>
            </w:r>
          </w:p>
        </w:tc>
        <w:tc>
          <w:tcPr>
            <w:tcW w:w="1134" w:type="dxa"/>
            <w:tcBorders>
              <w:top w:val="single" w:sz="2" w:space="0" w:color="000000"/>
              <w:left w:val="single" w:sz="24" w:space="0" w:color="FFFFFF"/>
              <w:bottom w:val="single" w:sz="2" w:space="0" w:color="000000"/>
              <w:right w:val="single" w:sz="24" w:space="0" w:color="FFFFFF"/>
            </w:tcBorders>
            <w:noWrap/>
          </w:tcPr>
          <w:p w14:paraId="21E2F736"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1B32A75D" w14:textId="77777777" w:rsidR="001F25B2" w:rsidRPr="003D565A" w:rsidRDefault="001F25B2" w:rsidP="004F297A">
            <w:pPr>
              <w:pStyle w:val="Tnumber"/>
              <w:keepNext/>
            </w:pPr>
            <w:r w:rsidRPr="003D565A">
              <w:t>2,3 %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14B5EF9" w14:textId="77777777" w:rsidR="001F25B2" w:rsidRPr="003D565A" w:rsidRDefault="001F25B2" w:rsidP="004F297A">
            <w:pPr>
              <w:pStyle w:val="Tnumber"/>
              <w:keepNext/>
            </w:pPr>
            <w:r w:rsidRPr="003D565A">
              <w:t>– 1,0 %</w:t>
            </w:r>
          </w:p>
        </w:tc>
        <w:tc>
          <w:tcPr>
            <w:tcW w:w="1134" w:type="dxa"/>
            <w:tcBorders>
              <w:top w:val="single" w:sz="2" w:space="0" w:color="000000"/>
              <w:left w:val="single" w:sz="24" w:space="0" w:color="FFFFFF"/>
              <w:bottom w:val="single" w:sz="2" w:space="0" w:color="000000"/>
            </w:tcBorders>
            <w:noWrap/>
          </w:tcPr>
          <w:p w14:paraId="4387352C" w14:textId="77777777" w:rsidR="001F25B2" w:rsidRPr="003D565A" w:rsidRDefault="001F25B2" w:rsidP="004F297A">
            <w:pPr>
              <w:pStyle w:val="Tnumber"/>
              <w:keepNext/>
            </w:pPr>
            <w:r w:rsidRPr="003D565A">
              <w:t> </w:t>
            </w:r>
          </w:p>
        </w:tc>
      </w:tr>
      <w:tr w:rsidR="001F25B2" w:rsidRPr="003D565A" w14:paraId="4BF28DA9" w14:textId="77777777" w:rsidTr="001F25B2">
        <w:tc>
          <w:tcPr>
            <w:tcW w:w="3402" w:type="dxa"/>
            <w:tcBorders>
              <w:top w:val="single" w:sz="2" w:space="0" w:color="000000"/>
              <w:bottom w:val="single" w:sz="2" w:space="0" w:color="000000"/>
              <w:right w:val="single" w:sz="24" w:space="0" w:color="FFFFFF"/>
            </w:tcBorders>
            <w:noWrap/>
          </w:tcPr>
          <w:p w14:paraId="367D0397" w14:textId="77777777" w:rsidR="001F25B2" w:rsidRPr="003D565A" w:rsidRDefault="001F25B2" w:rsidP="004F297A">
            <w:pPr>
              <w:pStyle w:val="Ttextindent1"/>
              <w:keepNext/>
            </w:pPr>
            <w:r w:rsidRPr="003D565A">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74FF8FE5" w14:textId="77777777" w:rsidR="001F25B2" w:rsidRPr="003D565A" w:rsidRDefault="001F25B2" w:rsidP="004F297A">
            <w:pPr>
              <w:pStyle w:val="Tnumber"/>
              <w:keepNext/>
            </w:pPr>
            <w:r w:rsidRPr="003D565A">
              <w:t>2,0 %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B402E71" w14:textId="77777777" w:rsidR="001F25B2" w:rsidRPr="003D565A" w:rsidRDefault="001F25B2" w:rsidP="004F297A">
            <w:pPr>
              <w:pStyle w:val="Tnumber"/>
              <w:keepNext/>
            </w:pPr>
            <w:r w:rsidRPr="003D565A">
              <w:t>0,0 %</w:t>
            </w:r>
          </w:p>
        </w:tc>
        <w:tc>
          <w:tcPr>
            <w:tcW w:w="1134" w:type="dxa"/>
            <w:tcBorders>
              <w:top w:val="single" w:sz="2" w:space="0" w:color="000000"/>
              <w:left w:val="single" w:sz="24" w:space="0" w:color="FFFFFF"/>
              <w:bottom w:val="single" w:sz="2" w:space="0" w:color="000000"/>
              <w:right w:val="single" w:sz="24" w:space="0" w:color="FFFFFF"/>
            </w:tcBorders>
            <w:noWrap/>
          </w:tcPr>
          <w:p w14:paraId="38426E68" w14:textId="77777777" w:rsidR="001F25B2" w:rsidRPr="003D565A" w:rsidRDefault="001F25B2" w:rsidP="004F297A">
            <w:pPr>
              <w:pStyle w:val="Tnumber"/>
              <w:keepNext/>
            </w:pPr>
            <w:r w:rsidRPr="003D565A">
              <w:t> </w:t>
            </w:r>
          </w:p>
        </w:tc>
        <w:tc>
          <w:tcPr>
            <w:tcW w:w="1134" w:type="dxa"/>
            <w:tcBorders>
              <w:top w:val="single" w:sz="2" w:space="0" w:color="000000"/>
              <w:left w:val="single" w:sz="24" w:space="0" w:color="FFFFFF"/>
              <w:bottom w:val="single" w:sz="2" w:space="0" w:color="000000"/>
              <w:right w:val="single" w:sz="24" w:space="0" w:color="FFFFFF"/>
            </w:tcBorders>
            <w:noWrap/>
          </w:tcPr>
          <w:p w14:paraId="67925EF3" w14:textId="77777777" w:rsidR="001F25B2" w:rsidRPr="003D565A" w:rsidRDefault="001F25B2" w:rsidP="004F297A">
            <w:pPr>
              <w:pStyle w:val="Tnumber"/>
              <w:keepNext/>
            </w:pPr>
            <w:r w:rsidRPr="003D565A">
              <w:t>1,2 %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55181F1" w14:textId="77777777" w:rsidR="001F25B2" w:rsidRPr="003D565A" w:rsidRDefault="001F25B2" w:rsidP="004F297A">
            <w:pPr>
              <w:pStyle w:val="Tnumber"/>
              <w:keepNext/>
            </w:pPr>
            <w:r w:rsidRPr="003D565A">
              <w:t>0,3 %</w:t>
            </w:r>
          </w:p>
        </w:tc>
        <w:tc>
          <w:tcPr>
            <w:tcW w:w="1134" w:type="dxa"/>
            <w:tcBorders>
              <w:top w:val="single" w:sz="2" w:space="0" w:color="000000"/>
              <w:left w:val="single" w:sz="24" w:space="0" w:color="FFFFFF"/>
              <w:bottom w:val="single" w:sz="2" w:space="0" w:color="000000"/>
            </w:tcBorders>
            <w:noWrap/>
          </w:tcPr>
          <w:p w14:paraId="52F2E972" w14:textId="77777777" w:rsidR="001F25B2" w:rsidRPr="003D565A" w:rsidRDefault="001F25B2" w:rsidP="004F297A">
            <w:pPr>
              <w:pStyle w:val="Tnumber"/>
              <w:keepNext/>
            </w:pPr>
            <w:r w:rsidRPr="003D565A">
              <w:t> </w:t>
            </w:r>
          </w:p>
        </w:tc>
      </w:tr>
      <w:tr w:rsidR="001F25B2" w:rsidRPr="003D565A" w14:paraId="6BA72B4B" w14:textId="77777777" w:rsidTr="001F25B2">
        <w:tc>
          <w:tcPr>
            <w:tcW w:w="3402" w:type="dxa"/>
            <w:tcBorders>
              <w:top w:val="single" w:sz="2" w:space="0" w:color="000000"/>
              <w:bottom w:val="single" w:sz="2" w:space="0" w:color="000000"/>
              <w:right w:val="single" w:sz="24" w:space="0" w:color="FFFFFF"/>
            </w:tcBorders>
            <w:noWrap/>
          </w:tcPr>
          <w:p w14:paraId="33315EAB" w14:textId="77777777" w:rsidR="001F25B2" w:rsidRPr="003D565A" w:rsidRDefault="001F25B2" w:rsidP="004F297A">
            <w:pPr>
              <w:pStyle w:val="Ttext"/>
              <w:keepNext/>
            </w:pPr>
            <w:r w:rsidRPr="003D565A">
              <w:t>EBITDA</w:t>
            </w:r>
          </w:p>
        </w:tc>
        <w:tc>
          <w:tcPr>
            <w:tcW w:w="1134" w:type="dxa"/>
            <w:tcBorders>
              <w:top w:val="single" w:sz="2" w:space="0" w:color="000000"/>
              <w:left w:val="single" w:sz="24" w:space="0" w:color="FFFFFF"/>
              <w:bottom w:val="single" w:sz="2" w:space="0" w:color="000000"/>
              <w:right w:val="single" w:sz="24" w:space="0" w:color="FFFFFF"/>
            </w:tcBorders>
            <w:noWrap/>
          </w:tcPr>
          <w:p w14:paraId="08098A89" w14:textId="77777777" w:rsidR="001F25B2" w:rsidRPr="003D565A" w:rsidRDefault="001F25B2" w:rsidP="004F297A">
            <w:pPr>
              <w:pStyle w:val="Tnumber"/>
              <w:keepNext/>
            </w:pPr>
            <w:r w:rsidRPr="003D565A">
              <w:t>62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1145706" w14:textId="77777777" w:rsidR="001F25B2" w:rsidRPr="003D565A" w:rsidRDefault="001F25B2" w:rsidP="004F297A">
            <w:pPr>
              <w:pStyle w:val="Tnumber"/>
              <w:keepNext/>
            </w:pPr>
            <w:r w:rsidRPr="003D565A">
              <w:t>52</w:t>
            </w:r>
          </w:p>
        </w:tc>
        <w:tc>
          <w:tcPr>
            <w:tcW w:w="1134" w:type="dxa"/>
            <w:tcBorders>
              <w:top w:val="single" w:sz="2" w:space="0" w:color="000000"/>
              <w:left w:val="single" w:sz="24" w:space="0" w:color="FFFFFF"/>
              <w:bottom w:val="single" w:sz="2" w:space="0" w:color="000000"/>
              <w:right w:val="single" w:sz="24" w:space="0" w:color="FFFFFF"/>
            </w:tcBorders>
            <w:noWrap/>
          </w:tcPr>
          <w:p w14:paraId="345B764B" w14:textId="77777777" w:rsidR="001F25B2" w:rsidRPr="003D565A" w:rsidRDefault="001F25B2" w:rsidP="004F297A">
            <w:pPr>
              <w:pStyle w:val="Tnumber"/>
              <w:keepNext/>
            </w:pPr>
            <w:r w:rsidRPr="003D565A">
              <w:t>– 16,1</w:t>
            </w:r>
          </w:p>
        </w:tc>
        <w:tc>
          <w:tcPr>
            <w:tcW w:w="1134" w:type="dxa"/>
            <w:tcBorders>
              <w:top w:val="single" w:sz="2" w:space="0" w:color="000000"/>
              <w:left w:val="single" w:sz="24" w:space="0" w:color="FFFFFF"/>
              <w:bottom w:val="single" w:sz="2" w:space="0" w:color="000000"/>
              <w:right w:val="single" w:sz="24" w:space="0" w:color="FFFFFF"/>
            </w:tcBorders>
            <w:noWrap/>
          </w:tcPr>
          <w:p w14:paraId="33D5F17D" w14:textId="77777777" w:rsidR="001F25B2" w:rsidRPr="003D565A" w:rsidRDefault="001F25B2" w:rsidP="004F297A">
            <w:pPr>
              <w:pStyle w:val="Tnumber"/>
              <w:keepNext/>
            </w:pPr>
            <w:r w:rsidRPr="003D565A">
              <w:t>469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19E24DF" w14:textId="77777777" w:rsidR="001F25B2" w:rsidRPr="003D565A" w:rsidRDefault="001F25B2" w:rsidP="004F297A">
            <w:pPr>
              <w:pStyle w:val="Tnumber"/>
              <w:keepNext/>
            </w:pPr>
            <w:r w:rsidRPr="003D565A">
              <w:t>341</w:t>
            </w:r>
          </w:p>
        </w:tc>
        <w:tc>
          <w:tcPr>
            <w:tcW w:w="1134" w:type="dxa"/>
            <w:tcBorders>
              <w:top w:val="single" w:sz="2" w:space="0" w:color="000000"/>
              <w:left w:val="single" w:sz="24" w:space="0" w:color="FFFFFF"/>
              <w:bottom w:val="single" w:sz="2" w:space="0" w:color="000000"/>
            </w:tcBorders>
            <w:noWrap/>
          </w:tcPr>
          <w:p w14:paraId="1AF95E66" w14:textId="77777777" w:rsidR="001F25B2" w:rsidRPr="003D565A" w:rsidRDefault="001F25B2" w:rsidP="004F297A">
            <w:pPr>
              <w:pStyle w:val="Tnumber"/>
              <w:keepNext/>
            </w:pPr>
            <w:r w:rsidRPr="003D565A">
              <w:t>– 27,3</w:t>
            </w:r>
          </w:p>
        </w:tc>
      </w:tr>
      <w:tr w:rsidR="001F25B2" w:rsidRPr="003D565A" w14:paraId="3E1C0275" w14:textId="77777777" w:rsidTr="001F25B2">
        <w:tc>
          <w:tcPr>
            <w:tcW w:w="3402" w:type="dxa"/>
            <w:tcBorders>
              <w:top w:val="single" w:sz="2" w:space="0" w:color="000000"/>
              <w:bottom w:val="single" w:sz="2" w:space="0" w:color="000000"/>
              <w:right w:val="single" w:sz="24" w:space="0" w:color="FFFFFF"/>
            </w:tcBorders>
            <w:noWrap/>
          </w:tcPr>
          <w:p w14:paraId="0734DDF3" w14:textId="77777777" w:rsidR="001F25B2" w:rsidRPr="003D565A" w:rsidRDefault="001F25B2" w:rsidP="004F297A">
            <w:pPr>
              <w:pStyle w:val="Ttext"/>
              <w:keepNext/>
            </w:pPr>
            <w:r w:rsidRPr="003D565A">
              <w:t>EBIT</w:t>
            </w:r>
          </w:p>
        </w:tc>
        <w:tc>
          <w:tcPr>
            <w:tcW w:w="1134" w:type="dxa"/>
            <w:tcBorders>
              <w:top w:val="single" w:sz="2" w:space="0" w:color="000000"/>
              <w:left w:val="single" w:sz="24" w:space="0" w:color="FFFFFF"/>
              <w:bottom w:val="single" w:sz="2" w:space="0" w:color="000000"/>
              <w:right w:val="single" w:sz="24" w:space="0" w:color="FFFFFF"/>
            </w:tcBorders>
            <w:noWrap/>
          </w:tcPr>
          <w:p w14:paraId="123376F1" w14:textId="77777777" w:rsidR="001F25B2" w:rsidRPr="003D565A" w:rsidRDefault="001F25B2" w:rsidP="004F297A">
            <w:pPr>
              <w:pStyle w:val="Tnumber"/>
              <w:keepNext/>
            </w:pPr>
            <w:r w:rsidRPr="003D565A">
              <w:t>32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B66AFD9" w14:textId="77777777" w:rsidR="001F25B2" w:rsidRPr="003D565A" w:rsidRDefault="001F25B2" w:rsidP="004F297A">
            <w:pPr>
              <w:pStyle w:val="Tnumber"/>
              <w:keepNext/>
            </w:pPr>
            <w:r w:rsidRPr="003D565A">
              <w:t>19</w:t>
            </w:r>
          </w:p>
        </w:tc>
        <w:tc>
          <w:tcPr>
            <w:tcW w:w="1134" w:type="dxa"/>
            <w:tcBorders>
              <w:top w:val="single" w:sz="2" w:space="0" w:color="000000"/>
              <w:left w:val="single" w:sz="24" w:space="0" w:color="FFFFFF"/>
              <w:bottom w:val="single" w:sz="2" w:space="0" w:color="000000"/>
              <w:right w:val="single" w:sz="24" w:space="0" w:color="FFFFFF"/>
            </w:tcBorders>
            <w:noWrap/>
          </w:tcPr>
          <w:p w14:paraId="0D750FCC" w14:textId="77777777" w:rsidR="001F25B2" w:rsidRPr="003D565A" w:rsidRDefault="001F25B2" w:rsidP="004F297A">
            <w:pPr>
              <w:pStyle w:val="Tnumber"/>
              <w:keepNext/>
            </w:pPr>
            <w:r w:rsidRPr="003D565A">
              <w:t>– 40,6</w:t>
            </w:r>
          </w:p>
        </w:tc>
        <w:tc>
          <w:tcPr>
            <w:tcW w:w="1134" w:type="dxa"/>
            <w:tcBorders>
              <w:top w:val="single" w:sz="2" w:space="0" w:color="000000"/>
              <w:left w:val="single" w:sz="24" w:space="0" w:color="FFFFFF"/>
              <w:bottom w:val="single" w:sz="2" w:space="0" w:color="000000"/>
              <w:right w:val="single" w:sz="24" w:space="0" w:color="FFFFFF"/>
            </w:tcBorders>
            <w:noWrap/>
          </w:tcPr>
          <w:p w14:paraId="5EEBB12A" w14:textId="77777777" w:rsidR="001F25B2" w:rsidRPr="003D565A" w:rsidRDefault="001F25B2" w:rsidP="004F297A">
            <w:pPr>
              <w:pStyle w:val="Tnumber"/>
              <w:keepNext/>
            </w:pPr>
            <w:r w:rsidRPr="003D565A">
              <w:t>352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2F890F8" w14:textId="77777777" w:rsidR="001F25B2" w:rsidRPr="003D565A" w:rsidRDefault="001F25B2" w:rsidP="004F297A">
            <w:pPr>
              <w:pStyle w:val="Tnumber"/>
              <w:keepNext/>
            </w:pPr>
            <w:r w:rsidRPr="003D565A">
              <w:t>215</w:t>
            </w:r>
          </w:p>
        </w:tc>
        <w:tc>
          <w:tcPr>
            <w:tcW w:w="1134" w:type="dxa"/>
            <w:tcBorders>
              <w:top w:val="single" w:sz="2" w:space="0" w:color="000000"/>
              <w:left w:val="single" w:sz="24" w:space="0" w:color="FFFFFF"/>
              <w:bottom w:val="single" w:sz="2" w:space="0" w:color="000000"/>
            </w:tcBorders>
            <w:noWrap/>
          </w:tcPr>
          <w:p w14:paraId="64DE4578" w14:textId="77777777" w:rsidR="001F25B2" w:rsidRPr="003D565A" w:rsidRDefault="001F25B2" w:rsidP="004F297A">
            <w:pPr>
              <w:pStyle w:val="Tnumber"/>
              <w:keepNext/>
            </w:pPr>
            <w:r w:rsidRPr="003D565A">
              <w:t>– 38,9</w:t>
            </w:r>
          </w:p>
        </w:tc>
      </w:tr>
      <w:tr w:rsidR="001F25B2" w:rsidRPr="003D565A" w14:paraId="2D55F07E" w14:textId="77777777" w:rsidTr="001F25B2">
        <w:tc>
          <w:tcPr>
            <w:tcW w:w="3402" w:type="dxa"/>
            <w:tcBorders>
              <w:top w:val="single" w:sz="2" w:space="0" w:color="000000"/>
              <w:right w:val="single" w:sz="24" w:space="0" w:color="FFFFFF"/>
            </w:tcBorders>
          </w:tcPr>
          <w:p w14:paraId="539711A1" w14:textId="77777777" w:rsidR="001F25B2" w:rsidRPr="003D565A" w:rsidRDefault="001F25B2" w:rsidP="004F297A">
            <w:pPr>
              <w:pStyle w:val="Ttext"/>
              <w:keepNext/>
            </w:pPr>
            <w:r w:rsidRPr="003D565A">
              <w:t>Free Operating Cash Flow</w:t>
            </w:r>
          </w:p>
        </w:tc>
        <w:tc>
          <w:tcPr>
            <w:tcW w:w="1134" w:type="dxa"/>
            <w:tcBorders>
              <w:top w:val="single" w:sz="2" w:space="0" w:color="000000"/>
              <w:left w:val="single" w:sz="24" w:space="0" w:color="FFFFFF"/>
              <w:right w:val="single" w:sz="24" w:space="0" w:color="FFFFFF"/>
            </w:tcBorders>
            <w:noWrap/>
          </w:tcPr>
          <w:p w14:paraId="658C2022" w14:textId="77777777" w:rsidR="001F25B2" w:rsidRPr="003D565A" w:rsidRDefault="001F25B2" w:rsidP="004F297A">
            <w:pPr>
              <w:pStyle w:val="Tnumber"/>
              <w:keepNext/>
            </w:pPr>
            <w:r w:rsidRPr="003D565A">
              <w:t>115</w:t>
            </w:r>
          </w:p>
        </w:tc>
        <w:tc>
          <w:tcPr>
            <w:tcW w:w="1134" w:type="dxa"/>
            <w:tcBorders>
              <w:top w:val="single" w:sz="2" w:space="0" w:color="000000"/>
              <w:left w:val="single" w:sz="24" w:space="0" w:color="FFFFFF"/>
              <w:right w:val="single" w:sz="24" w:space="0" w:color="FFFFFF"/>
            </w:tcBorders>
            <w:shd w:val="clear" w:color="000000" w:fill="D9F1FB"/>
            <w:noWrap/>
          </w:tcPr>
          <w:p w14:paraId="4BB99F9A" w14:textId="77777777" w:rsidR="001F25B2" w:rsidRPr="003D565A" w:rsidRDefault="001F25B2" w:rsidP="004F297A">
            <w:pPr>
              <w:pStyle w:val="Tnumber"/>
              <w:keepNext/>
            </w:pPr>
            <w:r w:rsidRPr="003D565A">
              <w:t>70</w:t>
            </w:r>
          </w:p>
        </w:tc>
        <w:tc>
          <w:tcPr>
            <w:tcW w:w="1134" w:type="dxa"/>
            <w:tcBorders>
              <w:top w:val="single" w:sz="2" w:space="0" w:color="000000"/>
              <w:left w:val="single" w:sz="24" w:space="0" w:color="FFFFFF"/>
              <w:right w:val="single" w:sz="24" w:space="0" w:color="FFFFFF"/>
            </w:tcBorders>
            <w:noWrap/>
          </w:tcPr>
          <w:p w14:paraId="2B2CBC53" w14:textId="77777777" w:rsidR="001F25B2" w:rsidRPr="003D565A" w:rsidRDefault="001F25B2" w:rsidP="004F297A">
            <w:pPr>
              <w:pStyle w:val="Tnumber"/>
              <w:keepNext/>
            </w:pPr>
            <w:r w:rsidRPr="003D565A">
              <w:t>– 39,1</w:t>
            </w:r>
          </w:p>
        </w:tc>
        <w:tc>
          <w:tcPr>
            <w:tcW w:w="1134" w:type="dxa"/>
            <w:tcBorders>
              <w:top w:val="single" w:sz="2" w:space="0" w:color="000000"/>
              <w:left w:val="single" w:sz="24" w:space="0" w:color="FFFFFF"/>
              <w:right w:val="single" w:sz="24" w:space="0" w:color="FFFFFF"/>
            </w:tcBorders>
            <w:noWrap/>
          </w:tcPr>
          <w:p w14:paraId="6E418CC6" w14:textId="77777777" w:rsidR="001F25B2" w:rsidRPr="003D565A" w:rsidRDefault="001F25B2" w:rsidP="004F297A">
            <w:pPr>
              <w:pStyle w:val="Tnumber"/>
              <w:keepNext/>
            </w:pPr>
            <w:r w:rsidRPr="003D565A">
              <w:t>191</w:t>
            </w:r>
          </w:p>
        </w:tc>
        <w:tc>
          <w:tcPr>
            <w:tcW w:w="1134" w:type="dxa"/>
            <w:tcBorders>
              <w:top w:val="single" w:sz="2" w:space="0" w:color="000000"/>
              <w:left w:val="single" w:sz="24" w:space="0" w:color="FFFFFF"/>
              <w:right w:val="single" w:sz="24" w:space="0" w:color="FFFFFF"/>
            </w:tcBorders>
            <w:shd w:val="clear" w:color="000000" w:fill="D9F1FB"/>
            <w:noWrap/>
          </w:tcPr>
          <w:p w14:paraId="63C272DA" w14:textId="77777777" w:rsidR="001F25B2" w:rsidRPr="003D565A" w:rsidRDefault="001F25B2" w:rsidP="004F297A">
            <w:pPr>
              <w:pStyle w:val="Tnumber"/>
              <w:keepNext/>
            </w:pPr>
            <w:r w:rsidRPr="003D565A">
              <w:t>189</w:t>
            </w:r>
          </w:p>
        </w:tc>
        <w:tc>
          <w:tcPr>
            <w:tcW w:w="1134" w:type="dxa"/>
            <w:tcBorders>
              <w:top w:val="single" w:sz="2" w:space="0" w:color="000000"/>
              <w:left w:val="single" w:sz="24" w:space="0" w:color="FFFFFF"/>
            </w:tcBorders>
            <w:noWrap/>
          </w:tcPr>
          <w:p w14:paraId="35BCF6D4" w14:textId="77777777" w:rsidR="001F25B2" w:rsidRPr="003D565A" w:rsidRDefault="001F25B2" w:rsidP="004F297A">
            <w:pPr>
              <w:pStyle w:val="Tnumber"/>
              <w:keepNext/>
            </w:pPr>
            <w:r w:rsidRPr="003D565A">
              <w:t>– 1,0</w:t>
            </w:r>
          </w:p>
        </w:tc>
      </w:tr>
      <w:tr w:rsidR="001F25B2" w:rsidRPr="003D565A" w14:paraId="3E5315EB" w14:textId="77777777" w:rsidTr="001F25B2">
        <w:tc>
          <w:tcPr>
            <w:tcW w:w="3402" w:type="dxa"/>
            <w:tcBorders>
              <w:top w:val="single" w:sz="8" w:space="0" w:color="009FE4"/>
            </w:tcBorders>
            <w:noWrap/>
            <w:vAlign w:val="bottom"/>
          </w:tcPr>
          <w:p w14:paraId="54F7E491" w14:textId="77777777" w:rsidR="001F25B2" w:rsidRPr="003D565A" w:rsidRDefault="001F25B2" w:rsidP="004F297A">
            <w:pPr>
              <w:pStyle w:val="TlastRow"/>
              <w:keepNext/>
            </w:pPr>
            <w:r w:rsidRPr="003D565A">
              <w:t> </w:t>
            </w:r>
          </w:p>
        </w:tc>
        <w:tc>
          <w:tcPr>
            <w:tcW w:w="1134" w:type="dxa"/>
            <w:tcBorders>
              <w:top w:val="single" w:sz="8" w:space="0" w:color="009FE4"/>
            </w:tcBorders>
            <w:noWrap/>
            <w:vAlign w:val="bottom"/>
          </w:tcPr>
          <w:p w14:paraId="450883DD" w14:textId="77777777" w:rsidR="001F25B2" w:rsidRPr="003D565A" w:rsidRDefault="001F25B2" w:rsidP="004F297A">
            <w:pPr>
              <w:pStyle w:val="TlastRow"/>
              <w:keepNext/>
            </w:pPr>
            <w:r w:rsidRPr="003D565A">
              <w:t> </w:t>
            </w:r>
          </w:p>
        </w:tc>
        <w:tc>
          <w:tcPr>
            <w:tcW w:w="1134" w:type="dxa"/>
            <w:tcBorders>
              <w:top w:val="single" w:sz="8" w:space="0" w:color="009FE4"/>
            </w:tcBorders>
            <w:noWrap/>
            <w:vAlign w:val="bottom"/>
          </w:tcPr>
          <w:p w14:paraId="72B7926B" w14:textId="77777777" w:rsidR="001F25B2" w:rsidRPr="003D565A" w:rsidRDefault="001F25B2" w:rsidP="004F297A">
            <w:pPr>
              <w:pStyle w:val="TlastRow"/>
              <w:keepNext/>
            </w:pPr>
            <w:r w:rsidRPr="003D565A">
              <w:t> </w:t>
            </w:r>
          </w:p>
        </w:tc>
        <w:tc>
          <w:tcPr>
            <w:tcW w:w="1134" w:type="dxa"/>
            <w:tcBorders>
              <w:top w:val="single" w:sz="8" w:space="0" w:color="009FE4"/>
            </w:tcBorders>
            <w:noWrap/>
            <w:vAlign w:val="bottom"/>
          </w:tcPr>
          <w:p w14:paraId="07790A9C" w14:textId="77777777" w:rsidR="001F25B2" w:rsidRPr="003D565A" w:rsidRDefault="001F25B2" w:rsidP="004F297A">
            <w:pPr>
              <w:pStyle w:val="TlastRow"/>
              <w:keepNext/>
            </w:pPr>
            <w:r w:rsidRPr="003D565A">
              <w:t> </w:t>
            </w:r>
          </w:p>
        </w:tc>
        <w:tc>
          <w:tcPr>
            <w:tcW w:w="1134" w:type="dxa"/>
            <w:tcBorders>
              <w:top w:val="single" w:sz="8" w:space="0" w:color="009FE4"/>
            </w:tcBorders>
            <w:noWrap/>
            <w:vAlign w:val="bottom"/>
          </w:tcPr>
          <w:p w14:paraId="4998C056" w14:textId="77777777" w:rsidR="001F25B2" w:rsidRPr="003D565A" w:rsidRDefault="001F25B2" w:rsidP="004F297A">
            <w:pPr>
              <w:pStyle w:val="TlastRow"/>
              <w:keepNext/>
            </w:pPr>
            <w:r w:rsidRPr="003D565A">
              <w:t> </w:t>
            </w:r>
          </w:p>
        </w:tc>
        <w:tc>
          <w:tcPr>
            <w:tcW w:w="1134" w:type="dxa"/>
            <w:tcBorders>
              <w:top w:val="single" w:sz="8" w:space="0" w:color="009FE4"/>
            </w:tcBorders>
            <w:noWrap/>
            <w:vAlign w:val="bottom"/>
          </w:tcPr>
          <w:p w14:paraId="04178FE4" w14:textId="77777777" w:rsidR="001F25B2" w:rsidRPr="003D565A" w:rsidRDefault="001F25B2" w:rsidP="004F297A">
            <w:pPr>
              <w:pStyle w:val="TlastRow"/>
              <w:keepNext/>
            </w:pPr>
            <w:r w:rsidRPr="003D565A">
              <w:t> </w:t>
            </w:r>
          </w:p>
        </w:tc>
        <w:tc>
          <w:tcPr>
            <w:tcW w:w="1134" w:type="dxa"/>
            <w:tcBorders>
              <w:top w:val="single" w:sz="8" w:space="0" w:color="009FE4"/>
            </w:tcBorders>
            <w:noWrap/>
            <w:vAlign w:val="bottom"/>
          </w:tcPr>
          <w:p w14:paraId="16F7DFD8" w14:textId="77777777" w:rsidR="001F25B2" w:rsidRPr="003D565A" w:rsidRDefault="001F25B2" w:rsidP="004F297A">
            <w:pPr>
              <w:pStyle w:val="TlastRow"/>
              <w:keepNext/>
            </w:pPr>
            <w:r w:rsidRPr="003D565A">
              <w:t> </w:t>
            </w:r>
          </w:p>
        </w:tc>
      </w:tr>
    </w:tbl>
    <w:p w14:paraId="2B70DDE4" w14:textId="77777777" w:rsidR="006D2285" w:rsidRPr="00064D63" w:rsidRDefault="006D2285" w:rsidP="00DC3730">
      <w:pPr>
        <w:spacing w:after="0" w:line="240" w:lineRule="auto"/>
        <w:rPr>
          <w:rFonts w:cs="Arial"/>
          <w:sz w:val="16"/>
          <w:szCs w:val="16"/>
          <w:lang w:val="de-DE"/>
        </w:rPr>
      </w:pPr>
    </w:p>
    <w:sectPr w:rsidR="006D2285" w:rsidRPr="00064D63" w:rsidSect="005F108A">
      <w:headerReference w:type="even" r:id="rId15"/>
      <w:headerReference w:type="default" r:id="rId16"/>
      <w:footerReference w:type="default" r:id="rId17"/>
      <w:headerReference w:type="first" r:id="rId18"/>
      <w:footerReference w:type="first" r:id="rId19"/>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40958" w14:textId="77777777" w:rsidR="00887FE1" w:rsidRDefault="00887FE1" w:rsidP="00B01CE8">
      <w:r>
        <w:separator/>
      </w:r>
    </w:p>
  </w:endnote>
  <w:endnote w:type="continuationSeparator" w:id="0">
    <w:p w14:paraId="445F037D" w14:textId="77777777" w:rsidR="00887FE1" w:rsidRDefault="00887F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altName w:val="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1" w14:textId="77777777" w:rsidR="008F0934" w:rsidRPr="003A7B52" w:rsidRDefault="008F0934" w:rsidP="00B839DC">
    <w:pPr>
      <w:pStyle w:val="Fuzeile1"/>
    </w:pPr>
    <w:r>
      <w:fldChar w:fldCharType="begin"/>
    </w:r>
    <w:r>
      <w:instrText xml:space="preserve"> </w:instrText>
    </w:r>
    <w:r w:rsidRPr="00784BB0">
      <w:instrText>PAGE \# "00"</w:instrText>
    </w:r>
    <w:r>
      <w:instrText xml:space="preserve"> </w:instrText>
    </w:r>
    <w:r>
      <w:fldChar w:fldCharType="separate"/>
    </w:r>
    <w:r>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02</w:t>
    </w:r>
    <w:r>
      <w:fldChar w:fldCharType="end"/>
    </w:r>
  </w:p>
  <w:p w14:paraId="73609582" w14:textId="77777777" w:rsidR="008F0934" w:rsidRPr="00D0636E" w:rsidRDefault="008F0934"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4"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B42A" w14:textId="77777777" w:rsidR="00887FE1" w:rsidRDefault="00887FE1" w:rsidP="00B01CE8">
      <w:r>
        <w:separator/>
      </w:r>
    </w:p>
  </w:footnote>
  <w:footnote w:type="continuationSeparator" w:id="0">
    <w:p w14:paraId="2F17EF1A" w14:textId="77777777" w:rsidR="00887FE1" w:rsidRDefault="00887FE1"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DBC8" w14:textId="09106A5D" w:rsidR="008F0934" w:rsidRDefault="008F09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0" w14:textId="0F0310FF" w:rsidR="008F0934" w:rsidRDefault="008F0934">
    <w:pPr>
      <w:pStyle w:val="Kopfzeile"/>
    </w:pPr>
    <w:r>
      <w:rPr>
        <w:lang w:eastAsia="en-US"/>
      </w:rPr>
      <mc:AlternateContent>
        <mc:Choice Requires="wps">
          <w:drawing>
            <wp:anchor distT="0" distB="0" distL="114300" distR="114300" simplePos="0" relativeHeight="251652608"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0958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260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54656"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1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3" w14:textId="03AFC475" w:rsidR="008F0934" w:rsidRDefault="008F0934" w:rsidP="00B01CE8">
    <w:pPr>
      <w:pStyle w:val="Kopfzeile"/>
    </w:pPr>
    <w:r>
      <w:rPr>
        <w:lang w:eastAsia="en-US"/>
      </w:rPr>
      <mc:AlternateContent>
        <mc:Choice Requires="wps">
          <w:drawing>
            <wp:anchor distT="0" distB="0" distL="114300" distR="114300" simplePos="0" relativeHeight="251660800" behindDoc="0" locked="1" layoutInCell="1" allowOverlap="1" wp14:anchorId="7360958A" wp14:editId="7360958B">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F0934" w:rsidRPr="000D6590" w:rsidRDefault="008F0934" w:rsidP="00670E26">
                          <w:pPr>
                            <w:pStyle w:val="MarginalHeadline"/>
                            <w:rPr>
                              <w:lang w:val="de-DE"/>
                            </w:rPr>
                          </w:pPr>
                          <w:r>
                            <w:rPr>
                              <w:lang w:val="de-DE"/>
                            </w:rPr>
                            <w:t>Leverkusen</w:t>
                          </w:r>
                          <w:r w:rsidRPr="000D6590">
                            <w:rPr>
                              <w:lang w:val="de-DE"/>
                            </w:rPr>
                            <w:t>,</w:t>
                          </w:r>
                        </w:p>
                        <w:p w14:paraId="73609592" w14:textId="30A69BDC" w:rsidR="008F0934" w:rsidRPr="000D6590" w:rsidRDefault="008F0934" w:rsidP="00670E26">
                          <w:pPr>
                            <w:pStyle w:val="MarginalHeadline"/>
                            <w:rPr>
                              <w:lang w:val="de-DE"/>
                            </w:rPr>
                          </w:pPr>
                          <w:r>
                            <w:rPr>
                              <w:lang w:val="de-DE"/>
                            </w:rPr>
                            <w:t>23. Februar 202</w:t>
                          </w:r>
                          <w:r w:rsidR="00C91742">
                            <w:rPr>
                              <w:lang w:val="de-DE"/>
                            </w:rPr>
                            <w:t>1</w:t>
                          </w:r>
                        </w:p>
                        <w:p w14:paraId="73609593" w14:textId="77777777" w:rsidR="008F0934" w:rsidRPr="000D6590" w:rsidRDefault="008F0934" w:rsidP="00670E26">
                          <w:pPr>
                            <w:pStyle w:val="MarginalHeadline"/>
                            <w:rPr>
                              <w:lang w:val="de-DE"/>
                            </w:rPr>
                          </w:pPr>
                        </w:p>
                        <w:p w14:paraId="73609594" w14:textId="77777777" w:rsidR="008F0934" w:rsidRPr="000D6590" w:rsidRDefault="008F0934" w:rsidP="00670E26">
                          <w:pPr>
                            <w:pStyle w:val="MarginalHeadline"/>
                            <w:rPr>
                              <w:lang w:val="de-DE"/>
                            </w:rPr>
                          </w:pPr>
                        </w:p>
                        <w:p w14:paraId="73609595" w14:textId="77777777" w:rsidR="008F0934" w:rsidRPr="000D6590" w:rsidRDefault="008F0934" w:rsidP="005810B9">
                          <w:pPr>
                            <w:pStyle w:val="MarginalHeadline"/>
                            <w:rPr>
                              <w:lang w:val="de-DE"/>
                            </w:rPr>
                          </w:pPr>
                          <w:r>
                            <w:rPr>
                              <w:lang w:val="de-DE"/>
                            </w:rPr>
                            <w:t>Covestro A</w:t>
                          </w:r>
                          <w:r w:rsidRPr="000D6590">
                            <w:rPr>
                              <w:lang w:val="de-DE"/>
                            </w:rPr>
                            <w:t>G</w:t>
                          </w:r>
                        </w:p>
                        <w:p w14:paraId="73609596" w14:textId="77777777" w:rsidR="008F0934" w:rsidRPr="000D6590" w:rsidRDefault="008F0934" w:rsidP="00670E26">
                          <w:pPr>
                            <w:pStyle w:val="MarginalGrey"/>
                            <w:rPr>
                              <w:lang w:val="de-DE"/>
                            </w:rPr>
                          </w:pPr>
                          <w:r>
                            <w:rPr>
                              <w:lang w:val="de-DE"/>
                            </w:rPr>
                            <w:t>Communications</w:t>
                          </w:r>
                        </w:p>
                        <w:p w14:paraId="73609597" w14:textId="77777777" w:rsidR="008F0934" w:rsidRPr="000D6590" w:rsidRDefault="008F0934" w:rsidP="00670E26">
                          <w:pPr>
                            <w:pStyle w:val="MarginalGrey"/>
                            <w:rPr>
                              <w:lang w:val="de-DE"/>
                            </w:rPr>
                          </w:pPr>
                          <w:r>
                            <w:rPr>
                              <w:lang w:val="de-DE"/>
                            </w:rPr>
                            <w:t>51365 Leverkusen</w:t>
                          </w:r>
                        </w:p>
                        <w:p w14:paraId="73609598" w14:textId="77777777" w:rsidR="008F0934" w:rsidRPr="000D6590" w:rsidRDefault="008F0934" w:rsidP="00670E26">
                          <w:pPr>
                            <w:pStyle w:val="MarginalGrey"/>
                            <w:rPr>
                              <w:lang w:val="de-DE"/>
                            </w:rPr>
                          </w:pPr>
                        </w:p>
                        <w:p w14:paraId="73609599" w14:textId="77777777" w:rsidR="008F0934" w:rsidRPr="000D6590" w:rsidRDefault="008F0934" w:rsidP="00670E26">
                          <w:pPr>
                            <w:pStyle w:val="MarginalGrey"/>
                            <w:rPr>
                              <w:lang w:val="de-DE"/>
                            </w:rPr>
                          </w:pPr>
                        </w:p>
                        <w:p w14:paraId="7360959A" w14:textId="77777777" w:rsidR="008F0934" w:rsidRPr="000D6590" w:rsidRDefault="008F0934" w:rsidP="00670E26">
                          <w:pPr>
                            <w:pStyle w:val="MarginalSubheadline"/>
                            <w:rPr>
                              <w:lang w:val="de-DE"/>
                            </w:rPr>
                          </w:pPr>
                          <w:r w:rsidRPr="000D6590">
                            <w:rPr>
                              <w:lang w:val="de-DE"/>
                            </w:rPr>
                            <w:t>Ansprechpartner</w:t>
                          </w:r>
                        </w:p>
                        <w:p w14:paraId="7360959B" w14:textId="023ED987" w:rsidR="008F0934" w:rsidRPr="00766534" w:rsidRDefault="008F0934" w:rsidP="00670E26">
                          <w:pPr>
                            <w:pStyle w:val="MarginalGrey"/>
                            <w:rPr>
                              <w:lang w:val="nl-NL"/>
                            </w:rPr>
                          </w:pPr>
                          <w:r w:rsidRPr="00766534">
                            <w:rPr>
                              <w:lang w:val="nl-NL"/>
                            </w:rPr>
                            <w:t>Lars Boelke</w:t>
                          </w:r>
                        </w:p>
                        <w:p w14:paraId="7360959C" w14:textId="77777777" w:rsidR="008F0934" w:rsidRPr="00766534" w:rsidRDefault="008F0934" w:rsidP="00670E26">
                          <w:pPr>
                            <w:pStyle w:val="MarginalSubheadline"/>
                            <w:rPr>
                              <w:lang w:val="nl-NL"/>
                            </w:rPr>
                          </w:pPr>
                          <w:r w:rsidRPr="00766534">
                            <w:rPr>
                              <w:lang w:val="nl-NL"/>
                            </w:rPr>
                            <w:t>Telefon</w:t>
                          </w:r>
                        </w:p>
                        <w:p w14:paraId="7360959D" w14:textId="3F03DAE9" w:rsidR="008F0934" w:rsidRPr="00766534" w:rsidRDefault="008F0934" w:rsidP="00670E26">
                          <w:pPr>
                            <w:pStyle w:val="MarginalGrey"/>
                            <w:rPr>
                              <w:lang w:val="nl-NL"/>
                            </w:rPr>
                          </w:pPr>
                          <w:r w:rsidRPr="00766534">
                            <w:rPr>
                              <w:spacing w:val="-20"/>
                              <w:position w:val="6"/>
                              <w:sz w:val="14"/>
                              <w:lang w:val="nl-NL"/>
                            </w:rPr>
                            <w:t>+</w:t>
                          </w:r>
                          <w:r w:rsidRPr="00766534">
                            <w:rPr>
                              <w:lang w:val="nl-NL"/>
                            </w:rPr>
                            <w:t>49 1522 8860494</w:t>
                          </w:r>
                        </w:p>
                        <w:p w14:paraId="7360959E" w14:textId="77777777" w:rsidR="008F0934" w:rsidRPr="00766534" w:rsidRDefault="008F0934" w:rsidP="00670E26">
                          <w:pPr>
                            <w:pStyle w:val="MarginalSubheadline"/>
                            <w:rPr>
                              <w:lang w:val="nl-NL"/>
                            </w:rPr>
                          </w:pPr>
                          <w:r w:rsidRPr="00766534">
                            <w:rPr>
                              <w:lang w:val="nl-NL"/>
                            </w:rPr>
                            <w:t>E-Mail</w:t>
                          </w:r>
                        </w:p>
                        <w:p w14:paraId="7360959F" w14:textId="414762F0" w:rsidR="008F0934" w:rsidRPr="00766534" w:rsidRDefault="008F0934" w:rsidP="00670E26">
                          <w:pPr>
                            <w:pStyle w:val="MarginalGrey"/>
                            <w:rPr>
                              <w:lang w:val="nl-NL"/>
                            </w:rPr>
                          </w:pPr>
                          <w:r w:rsidRPr="00766534">
                            <w:rPr>
                              <w:lang w:val="nl-NL"/>
                            </w:rPr>
                            <w:t>Lars.Boelke</w:t>
                          </w:r>
                        </w:p>
                        <w:p w14:paraId="736095A0" w14:textId="77777777" w:rsidR="008F0934" w:rsidRPr="00766534" w:rsidRDefault="008F0934" w:rsidP="00670E26">
                          <w:pPr>
                            <w:pStyle w:val="MarginalGrey"/>
                            <w:rPr>
                              <w:lang w:val="nl-NL"/>
                            </w:rPr>
                          </w:pPr>
                          <w:r w:rsidRPr="00766534">
                            <w:rPr>
                              <w:lang w:val="nl-NL"/>
                            </w:rPr>
                            <w:t>@covestro.com</w:t>
                          </w:r>
                        </w:p>
                        <w:p w14:paraId="736095A3" w14:textId="5E710497" w:rsidR="008F0934" w:rsidRDefault="008F0934" w:rsidP="00670E26">
                          <w:pPr>
                            <w:pStyle w:val="MarginalGrey"/>
                            <w:rPr>
                              <w:lang w:val="nl-NL"/>
                            </w:rPr>
                          </w:pPr>
                        </w:p>
                        <w:p w14:paraId="30CA07F2" w14:textId="519FA8C1" w:rsidR="008F0934" w:rsidRDefault="008F0934" w:rsidP="00670E26">
                          <w:pPr>
                            <w:pStyle w:val="MarginalGrey"/>
                            <w:rPr>
                              <w:lang w:val="nl-NL"/>
                            </w:rPr>
                          </w:pPr>
                        </w:p>
                        <w:p w14:paraId="18281AB2" w14:textId="77777777" w:rsidR="008F0934" w:rsidRPr="00730A0F" w:rsidRDefault="008F0934" w:rsidP="00730A0F">
                          <w:pPr>
                            <w:pStyle w:val="MarginalSubheadline"/>
                            <w:rPr>
                              <w:lang w:val="it-IT"/>
                            </w:rPr>
                          </w:pPr>
                          <w:r w:rsidRPr="00730A0F">
                            <w:rPr>
                              <w:lang w:val="it-IT"/>
                            </w:rPr>
                            <w:t>Ansprechpartnerin</w:t>
                          </w:r>
                        </w:p>
                        <w:p w14:paraId="5594E2D9" w14:textId="77777777" w:rsidR="008F0934" w:rsidRPr="00730A0F" w:rsidRDefault="008F0934" w:rsidP="00730A0F">
                          <w:pPr>
                            <w:pStyle w:val="MarginalGrey"/>
                            <w:rPr>
                              <w:lang w:val="it-IT"/>
                            </w:rPr>
                          </w:pPr>
                          <w:r w:rsidRPr="00730A0F">
                            <w:rPr>
                              <w:lang w:val="it-IT"/>
                            </w:rPr>
                            <w:t>Carolin Mann</w:t>
                          </w:r>
                        </w:p>
                        <w:p w14:paraId="4BCF83E9" w14:textId="77777777" w:rsidR="008F0934" w:rsidRPr="00B34268" w:rsidRDefault="008F0934" w:rsidP="00730A0F">
                          <w:pPr>
                            <w:pStyle w:val="MarginalSubheadline"/>
                            <w:rPr>
                              <w:lang w:val="it-IT"/>
                            </w:rPr>
                          </w:pPr>
                          <w:r w:rsidRPr="00B34268">
                            <w:rPr>
                              <w:lang w:val="it-IT"/>
                            </w:rPr>
                            <w:t>Telefon</w:t>
                          </w:r>
                        </w:p>
                        <w:p w14:paraId="73045CC1" w14:textId="77777777" w:rsidR="008F0934" w:rsidRPr="00B34268" w:rsidRDefault="008F0934" w:rsidP="00730A0F">
                          <w:pPr>
                            <w:pStyle w:val="MarginalGrey"/>
                            <w:rPr>
                              <w:lang w:val="it-IT"/>
                            </w:rPr>
                          </w:pPr>
                          <w:r w:rsidRPr="00B34268">
                            <w:rPr>
                              <w:spacing w:val="-20"/>
                              <w:position w:val="6"/>
                              <w:sz w:val="14"/>
                              <w:lang w:val="it-IT"/>
                            </w:rPr>
                            <w:t>+</w:t>
                          </w:r>
                          <w:r w:rsidRPr="00B34268">
                            <w:rPr>
                              <w:lang w:val="it-IT"/>
                            </w:rPr>
                            <w:t>49 173 7944436</w:t>
                          </w:r>
                        </w:p>
                        <w:p w14:paraId="09675386" w14:textId="77777777" w:rsidR="008F0934" w:rsidRPr="00B34268" w:rsidRDefault="008F0934" w:rsidP="00730A0F">
                          <w:pPr>
                            <w:pStyle w:val="MarginalSubheadline"/>
                            <w:rPr>
                              <w:lang w:val="it-IT"/>
                            </w:rPr>
                          </w:pPr>
                          <w:r w:rsidRPr="00B34268">
                            <w:rPr>
                              <w:lang w:val="it-IT"/>
                            </w:rPr>
                            <w:t>E-Mail</w:t>
                          </w:r>
                        </w:p>
                        <w:p w14:paraId="5BFBF573" w14:textId="77777777" w:rsidR="008F0934" w:rsidRPr="00B34268" w:rsidRDefault="008F0934" w:rsidP="00730A0F">
                          <w:pPr>
                            <w:pStyle w:val="MarginalGrey"/>
                            <w:rPr>
                              <w:lang w:val="it-IT"/>
                            </w:rPr>
                          </w:pPr>
                          <w:r w:rsidRPr="00B34268">
                            <w:rPr>
                              <w:lang w:val="it-IT"/>
                            </w:rPr>
                            <w:t>Carolin.Mann</w:t>
                          </w:r>
                        </w:p>
                        <w:p w14:paraId="7519C5C8" w14:textId="6C041856" w:rsidR="008F0934" w:rsidRPr="00766534" w:rsidRDefault="008F0934" w:rsidP="00730A0F">
                          <w:pPr>
                            <w:pStyle w:val="MarginalGrey"/>
                            <w:rPr>
                              <w:lang w:val="nl-NL"/>
                            </w:rPr>
                          </w:pPr>
                          <w:r w:rsidRPr="00D02467">
                            <w:rPr>
                              <w:lang w:val="it-IT"/>
                            </w:rPr>
                            <w:t>@covestro.com</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73609591" w14:textId="77777777" w:rsidR="008F0934" w:rsidRPr="000D6590" w:rsidRDefault="008F0934" w:rsidP="00670E26">
                    <w:pPr>
                      <w:pStyle w:val="MarginalHeadline"/>
                      <w:rPr>
                        <w:lang w:val="de-DE"/>
                      </w:rPr>
                    </w:pPr>
                    <w:r>
                      <w:rPr>
                        <w:lang w:val="de-DE"/>
                      </w:rPr>
                      <w:t>Leverkusen</w:t>
                    </w:r>
                    <w:r w:rsidRPr="000D6590">
                      <w:rPr>
                        <w:lang w:val="de-DE"/>
                      </w:rPr>
                      <w:t>,</w:t>
                    </w:r>
                  </w:p>
                  <w:p w14:paraId="73609592" w14:textId="30A69BDC" w:rsidR="008F0934" w:rsidRPr="000D6590" w:rsidRDefault="008F0934" w:rsidP="00670E26">
                    <w:pPr>
                      <w:pStyle w:val="MarginalHeadline"/>
                      <w:rPr>
                        <w:lang w:val="de-DE"/>
                      </w:rPr>
                    </w:pPr>
                    <w:r>
                      <w:rPr>
                        <w:lang w:val="de-DE"/>
                      </w:rPr>
                      <w:t>23. Februar 202</w:t>
                    </w:r>
                    <w:r w:rsidR="00C91742">
                      <w:rPr>
                        <w:lang w:val="de-DE"/>
                      </w:rPr>
                      <w:t>1</w:t>
                    </w:r>
                  </w:p>
                  <w:p w14:paraId="73609593" w14:textId="77777777" w:rsidR="008F0934" w:rsidRPr="000D6590" w:rsidRDefault="008F0934" w:rsidP="00670E26">
                    <w:pPr>
                      <w:pStyle w:val="MarginalHeadline"/>
                      <w:rPr>
                        <w:lang w:val="de-DE"/>
                      </w:rPr>
                    </w:pPr>
                  </w:p>
                  <w:p w14:paraId="73609594" w14:textId="77777777" w:rsidR="008F0934" w:rsidRPr="000D6590" w:rsidRDefault="008F0934" w:rsidP="00670E26">
                    <w:pPr>
                      <w:pStyle w:val="MarginalHeadline"/>
                      <w:rPr>
                        <w:lang w:val="de-DE"/>
                      </w:rPr>
                    </w:pPr>
                  </w:p>
                  <w:p w14:paraId="73609595" w14:textId="77777777" w:rsidR="008F0934" w:rsidRPr="000D6590" w:rsidRDefault="008F0934" w:rsidP="005810B9">
                    <w:pPr>
                      <w:pStyle w:val="MarginalHeadline"/>
                      <w:rPr>
                        <w:lang w:val="de-DE"/>
                      </w:rPr>
                    </w:pPr>
                    <w:r>
                      <w:rPr>
                        <w:lang w:val="de-DE"/>
                      </w:rPr>
                      <w:t>Covestro A</w:t>
                    </w:r>
                    <w:r w:rsidRPr="000D6590">
                      <w:rPr>
                        <w:lang w:val="de-DE"/>
                      </w:rPr>
                      <w:t>G</w:t>
                    </w:r>
                  </w:p>
                  <w:p w14:paraId="73609596" w14:textId="77777777" w:rsidR="008F0934" w:rsidRPr="000D6590" w:rsidRDefault="008F0934" w:rsidP="00670E26">
                    <w:pPr>
                      <w:pStyle w:val="MarginalGrey"/>
                      <w:rPr>
                        <w:lang w:val="de-DE"/>
                      </w:rPr>
                    </w:pPr>
                    <w:r>
                      <w:rPr>
                        <w:lang w:val="de-DE"/>
                      </w:rPr>
                      <w:t>Communications</w:t>
                    </w:r>
                  </w:p>
                  <w:p w14:paraId="73609597" w14:textId="77777777" w:rsidR="008F0934" w:rsidRPr="000D6590" w:rsidRDefault="008F0934" w:rsidP="00670E26">
                    <w:pPr>
                      <w:pStyle w:val="MarginalGrey"/>
                      <w:rPr>
                        <w:lang w:val="de-DE"/>
                      </w:rPr>
                    </w:pPr>
                    <w:r>
                      <w:rPr>
                        <w:lang w:val="de-DE"/>
                      </w:rPr>
                      <w:t>51365 Leverkusen</w:t>
                    </w:r>
                  </w:p>
                  <w:p w14:paraId="73609598" w14:textId="77777777" w:rsidR="008F0934" w:rsidRPr="000D6590" w:rsidRDefault="008F0934" w:rsidP="00670E26">
                    <w:pPr>
                      <w:pStyle w:val="MarginalGrey"/>
                      <w:rPr>
                        <w:lang w:val="de-DE"/>
                      </w:rPr>
                    </w:pPr>
                  </w:p>
                  <w:p w14:paraId="73609599" w14:textId="77777777" w:rsidR="008F0934" w:rsidRPr="000D6590" w:rsidRDefault="008F0934" w:rsidP="00670E26">
                    <w:pPr>
                      <w:pStyle w:val="MarginalGrey"/>
                      <w:rPr>
                        <w:lang w:val="de-DE"/>
                      </w:rPr>
                    </w:pPr>
                  </w:p>
                  <w:p w14:paraId="7360959A" w14:textId="77777777" w:rsidR="008F0934" w:rsidRPr="000D6590" w:rsidRDefault="008F0934" w:rsidP="00670E26">
                    <w:pPr>
                      <w:pStyle w:val="MarginalSubheadline"/>
                      <w:rPr>
                        <w:lang w:val="de-DE"/>
                      </w:rPr>
                    </w:pPr>
                    <w:r w:rsidRPr="000D6590">
                      <w:rPr>
                        <w:lang w:val="de-DE"/>
                      </w:rPr>
                      <w:t>Ansprechpartner</w:t>
                    </w:r>
                  </w:p>
                  <w:p w14:paraId="7360959B" w14:textId="023ED987" w:rsidR="008F0934" w:rsidRPr="00766534" w:rsidRDefault="008F0934" w:rsidP="00670E26">
                    <w:pPr>
                      <w:pStyle w:val="MarginalGrey"/>
                      <w:rPr>
                        <w:lang w:val="nl-NL"/>
                      </w:rPr>
                    </w:pPr>
                    <w:r w:rsidRPr="00766534">
                      <w:rPr>
                        <w:lang w:val="nl-NL"/>
                      </w:rPr>
                      <w:t>Lars Boelke</w:t>
                    </w:r>
                  </w:p>
                  <w:p w14:paraId="7360959C" w14:textId="77777777" w:rsidR="008F0934" w:rsidRPr="00766534" w:rsidRDefault="008F0934" w:rsidP="00670E26">
                    <w:pPr>
                      <w:pStyle w:val="MarginalSubheadline"/>
                      <w:rPr>
                        <w:lang w:val="nl-NL"/>
                      </w:rPr>
                    </w:pPr>
                    <w:r w:rsidRPr="00766534">
                      <w:rPr>
                        <w:lang w:val="nl-NL"/>
                      </w:rPr>
                      <w:t>Telefon</w:t>
                    </w:r>
                  </w:p>
                  <w:p w14:paraId="7360959D" w14:textId="3F03DAE9" w:rsidR="008F0934" w:rsidRPr="00766534" w:rsidRDefault="008F0934" w:rsidP="00670E26">
                    <w:pPr>
                      <w:pStyle w:val="MarginalGrey"/>
                      <w:rPr>
                        <w:lang w:val="nl-NL"/>
                      </w:rPr>
                    </w:pPr>
                    <w:r w:rsidRPr="00766534">
                      <w:rPr>
                        <w:spacing w:val="-20"/>
                        <w:position w:val="6"/>
                        <w:sz w:val="14"/>
                        <w:lang w:val="nl-NL"/>
                      </w:rPr>
                      <w:t>+</w:t>
                    </w:r>
                    <w:r w:rsidRPr="00766534">
                      <w:rPr>
                        <w:lang w:val="nl-NL"/>
                      </w:rPr>
                      <w:t>49 1522 8860494</w:t>
                    </w:r>
                  </w:p>
                  <w:p w14:paraId="7360959E" w14:textId="77777777" w:rsidR="008F0934" w:rsidRPr="00766534" w:rsidRDefault="008F0934" w:rsidP="00670E26">
                    <w:pPr>
                      <w:pStyle w:val="MarginalSubheadline"/>
                      <w:rPr>
                        <w:lang w:val="nl-NL"/>
                      </w:rPr>
                    </w:pPr>
                    <w:r w:rsidRPr="00766534">
                      <w:rPr>
                        <w:lang w:val="nl-NL"/>
                      </w:rPr>
                      <w:t>E-Mail</w:t>
                    </w:r>
                  </w:p>
                  <w:p w14:paraId="7360959F" w14:textId="414762F0" w:rsidR="008F0934" w:rsidRPr="00766534" w:rsidRDefault="008F0934" w:rsidP="00670E26">
                    <w:pPr>
                      <w:pStyle w:val="MarginalGrey"/>
                      <w:rPr>
                        <w:lang w:val="nl-NL"/>
                      </w:rPr>
                    </w:pPr>
                    <w:r w:rsidRPr="00766534">
                      <w:rPr>
                        <w:lang w:val="nl-NL"/>
                      </w:rPr>
                      <w:t>Lars.Boelke</w:t>
                    </w:r>
                  </w:p>
                  <w:p w14:paraId="736095A0" w14:textId="77777777" w:rsidR="008F0934" w:rsidRPr="00766534" w:rsidRDefault="008F0934" w:rsidP="00670E26">
                    <w:pPr>
                      <w:pStyle w:val="MarginalGrey"/>
                      <w:rPr>
                        <w:lang w:val="nl-NL"/>
                      </w:rPr>
                    </w:pPr>
                    <w:r w:rsidRPr="00766534">
                      <w:rPr>
                        <w:lang w:val="nl-NL"/>
                      </w:rPr>
                      <w:t>@covestro.com</w:t>
                    </w:r>
                  </w:p>
                  <w:p w14:paraId="736095A3" w14:textId="5E710497" w:rsidR="008F0934" w:rsidRDefault="008F0934" w:rsidP="00670E26">
                    <w:pPr>
                      <w:pStyle w:val="MarginalGrey"/>
                      <w:rPr>
                        <w:lang w:val="nl-NL"/>
                      </w:rPr>
                    </w:pPr>
                  </w:p>
                  <w:p w14:paraId="30CA07F2" w14:textId="519FA8C1" w:rsidR="008F0934" w:rsidRDefault="008F0934" w:rsidP="00670E26">
                    <w:pPr>
                      <w:pStyle w:val="MarginalGrey"/>
                      <w:rPr>
                        <w:lang w:val="nl-NL"/>
                      </w:rPr>
                    </w:pPr>
                  </w:p>
                  <w:p w14:paraId="18281AB2" w14:textId="77777777" w:rsidR="008F0934" w:rsidRPr="00730A0F" w:rsidRDefault="008F0934" w:rsidP="00730A0F">
                    <w:pPr>
                      <w:pStyle w:val="MarginalSubheadline"/>
                      <w:rPr>
                        <w:lang w:val="it-IT"/>
                      </w:rPr>
                    </w:pPr>
                    <w:r w:rsidRPr="00730A0F">
                      <w:rPr>
                        <w:lang w:val="it-IT"/>
                      </w:rPr>
                      <w:t>Ansprechpartnerin</w:t>
                    </w:r>
                  </w:p>
                  <w:p w14:paraId="5594E2D9" w14:textId="77777777" w:rsidR="008F0934" w:rsidRPr="00730A0F" w:rsidRDefault="008F0934" w:rsidP="00730A0F">
                    <w:pPr>
                      <w:pStyle w:val="MarginalGrey"/>
                      <w:rPr>
                        <w:lang w:val="it-IT"/>
                      </w:rPr>
                    </w:pPr>
                    <w:r w:rsidRPr="00730A0F">
                      <w:rPr>
                        <w:lang w:val="it-IT"/>
                      </w:rPr>
                      <w:t>Carolin Mann</w:t>
                    </w:r>
                  </w:p>
                  <w:p w14:paraId="4BCF83E9" w14:textId="77777777" w:rsidR="008F0934" w:rsidRPr="00B34268" w:rsidRDefault="008F0934" w:rsidP="00730A0F">
                    <w:pPr>
                      <w:pStyle w:val="MarginalSubheadline"/>
                      <w:rPr>
                        <w:lang w:val="it-IT"/>
                      </w:rPr>
                    </w:pPr>
                    <w:r w:rsidRPr="00B34268">
                      <w:rPr>
                        <w:lang w:val="it-IT"/>
                      </w:rPr>
                      <w:t>Telefon</w:t>
                    </w:r>
                  </w:p>
                  <w:p w14:paraId="73045CC1" w14:textId="77777777" w:rsidR="008F0934" w:rsidRPr="00B34268" w:rsidRDefault="008F0934" w:rsidP="00730A0F">
                    <w:pPr>
                      <w:pStyle w:val="MarginalGrey"/>
                      <w:rPr>
                        <w:lang w:val="it-IT"/>
                      </w:rPr>
                    </w:pPr>
                    <w:r w:rsidRPr="00B34268">
                      <w:rPr>
                        <w:spacing w:val="-20"/>
                        <w:position w:val="6"/>
                        <w:sz w:val="14"/>
                        <w:lang w:val="it-IT"/>
                      </w:rPr>
                      <w:t>+</w:t>
                    </w:r>
                    <w:r w:rsidRPr="00B34268">
                      <w:rPr>
                        <w:lang w:val="it-IT"/>
                      </w:rPr>
                      <w:t>49 173 7944436</w:t>
                    </w:r>
                  </w:p>
                  <w:p w14:paraId="09675386" w14:textId="77777777" w:rsidR="008F0934" w:rsidRPr="00B34268" w:rsidRDefault="008F0934" w:rsidP="00730A0F">
                    <w:pPr>
                      <w:pStyle w:val="MarginalSubheadline"/>
                      <w:rPr>
                        <w:lang w:val="it-IT"/>
                      </w:rPr>
                    </w:pPr>
                    <w:r w:rsidRPr="00B34268">
                      <w:rPr>
                        <w:lang w:val="it-IT"/>
                      </w:rPr>
                      <w:t>E-Mail</w:t>
                    </w:r>
                  </w:p>
                  <w:p w14:paraId="5BFBF573" w14:textId="77777777" w:rsidR="008F0934" w:rsidRPr="00B34268" w:rsidRDefault="008F0934" w:rsidP="00730A0F">
                    <w:pPr>
                      <w:pStyle w:val="MarginalGrey"/>
                      <w:rPr>
                        <w:lang w:val="it-IT"/>
                      </w:rPr>
                    </w:pPr>
                    <w:r w:rsidRPr="00B34268">
                      <w:rPr>
                        <w:lang w:val="it-IT"/>
                      </w:rPr>
                      <w:t>Carolin.Mann</w:t>
                    </w:r>
                  </w:p>
                  <w:p w14:paraId="7519C5C8" w14:textId="6C041856" w:rsidR="008F0934" w:rsidRPr="00766534" w:rsidRDefault="008F0934" w:rsidP="00730A0F">
                    <w:pPr>
                      <w:pStyle w:val="MarginalGrey"/>
                      <w:rPr>
                        <w:lang w:val="nl-NL"/>
                      </w:rPr>
                    </w:pPr>
                    <w:r w:rsidRPr="00D02467">
                      <w:rPr>
                        <w:lang w:val="it-IT"/>
                      </w:rPr>
                      <w:t>@covestro.com</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58752" behindDoc="0" locked="1" layoutInCell="1" allowOverlap="1" wp14:anchorId="7360958C" wp14:editId="7360958D">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36095A4" w14:textId="77777777" w:rsidR="008F0934" w:rsidRPr="00AC47B7" w:rsidRDefault="008F0934"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958C" id="Adress" o:spid="_x0000_s1028" type="#_x0000_t202" style="position:absolute;margin-left:62.35pt;margin-top:121.05pt;width:218.25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36095A4" w14:textId="77777777" w:rsidR="008F0934" w:rsidRPr="00AC47B7" w:rsidRDefault="008F0934" w:rsidP="00670E26">
                    <w:pPr>
                      <w:pStyle w:val="Titel"/>
                      <w:rPr>
                        <w:lang w:val="de-DE"/>
                      </w:rPr>
                    </w:pPr>
                    <w:r w:rsidRPr="00AC47B7">
                      <w:rPr>
                        <w:lang w:val="de-DE"/>
                      </w:rPr>
                      <w:t>Presse-Information</w:t>
                    </w:r>
                  </w:p>
                </w:txbxContent>
              </v:textbox>
              <w10:wrap anchorx="page" anchory="page"/>
              <w10:anchorlock/>
            </v:shape>
          </w:pict>
        </mc:Fallback>
      </mc:AlternateContent>
    </w:r>
    <w:r>
      <w:rPr>
        <w:lang w:eastAsia="en-US"/>
      </w:rPr>
      <w:drawing>
        <wp:anchor distT="0" distB="1005840" distL="114300" distR="114300" simplePos="0" relativeHeight="251656704" behindDoc="1" locked="0" layoutInCell="1" allowOverlap="1" wp14:anchorId="7360958E" wp14:editId="7360958F">
          <wp:simplePos x="0" y="0"/>
          <wp:positionH relativeFrom="page">
            <wp:posOffset>5219065</wp:posOffset>
          </wp:positionH>
          <wp:positionV relativeFrom="page">
            <wp:posOffset>795655</wp:posOffset>
          </wp:positionV>
          <wp:extent cx="1874520" cy="1874520"/>
          <wp:effectExtent l="0" t="0" r="0" b="0"/>
          <wp:wrapTopAndBottom/>
          <wp:docPr id="1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9"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9"/>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10F7"/>
    <w:rsid w:val="0000253D"/>
    <w:rsid w:val="00007659"/>
    <w:rsid w:val="00013985"/>
    <w:rsid w:val="000158AA"/>
    <w:rsid w:val="00015EA8"/>
    <w:rsid w:val="00016602"/>
    <w:rsid w:val="000171FB"/>
    <w:rsid w:val="00020437"/>
    <w:rsid w:val="00023449"/>
    <w:rsid w:val="000239B4"/>
    <w:rsid w:val="0002413F"/>
    <w:rsid w:val="00024A45"/>
    <w:rsid w:val="00025A0B"/>
    <w:rsid w:val="000304F4"/>
    <w:rsid w:val="0003310D"/>
    <w:rsid w:val="00036465"/>
    <w:rsid w:val="00036A09"/>
    <w:rsid w:val="0004208E"/>
    <w:rsid w:val="000423AE"/>
    <w:rsid w:val="000431EA"/>
    <w:rsid w:val="00045DD8"/>
    <w:rsid w:val="00050EAD"/>
    <w:rsid w:val="000569E3"/>
    <w:rsid w:val="00056B53"/>
    <w:rsid w:val="000570DE"/>
    <w:rsid w:val="000603EF"/>
    <w:rsid w:val="00060EB7"/>
    <w:rsid w:val="00063813"/>
    <w:rsid w:val="00064161"/>
    <w:rsid w:val="00064B3A"/>
    <w:rsid w:val="00064D63"/>
    <w:rsid w:val="00065F78"/>
    <w:rsid w:val="000669D2"/>
    <w:rsid w:val="00066D40"/>
    <w:rsid w:val="0006738F"/>
    <w:rsid w:val="00070431"/>
    <w:rsid w:val="00074DC5"/>
    <w:rsid w:val="000761E1"/>
    <w:rsid w:val="00084219"/>
    <w:rsid w:val="00084B63"/>
    <w:rsid w:val="00085F89"/>
    <w:rsid w:val="0008716B"/>
    <w:rsid w:val="00090FAF"/>
    <w:rsid w:val="00090FBC"/>
    <w:rsid w:val="0009178F"/>
    <w:rsid w:val="00093D80"/>
    <w:rsid w:val="000948A7"/>
    <w:rsid w:val="000A16E3"/>
    <w:rsid w:val="000A4A11"/>
    <w:rsid w:val="000A5855"/>
    <w:rsid w:val="000A6498"/>
    <w:rsid w:val="000B04F1"/>
    <w:rsid w:val="000B1592"/>
    <w:rsid w:val="000B4851"/>
    <w:rsid w:val="000B5784"/>
    <w:rsid w:val="000C66E7"/>
    <w:rsid w:val="000D0A49"/>
    <w:rsid w:val="000D1B7E"/>
    <w:rsid w:val="000D51FF"/>
    <w:rsid w:val="000D6590"/>
    <w:rsid w:val="000D7D2B"/>
    <w:rsid w:val="000E18AF"/>
    <w:rsid w:val="000E2848"/>
    <w:rsid w:val="000E2D90"/>
    <w:rsid w:val="000E406B"/>
    <w:rsid w:val="000E5992"/>
    <w:rsid w:val="000E7757"/>
    <w:rsid w:val="000F0027"/>
    <w:rsid w:val="000F70AA"/>
    <w:rsid w:val="00101911"/>
    <w:rsid w:val="00102CE7"/>
    <w:rsid w:val="00103257"/>
    <w:rsid w:val="00103F41"/>
    <w:rsid w:val="00106178"/>
    <w:rsid w:val="00107079"/>
    <w:rsid w:val="0011082F"/>
    <w:rsid w:val="0011104B"/>
    <w:rsid w:val="00116838"/>
    <w:rsid w:val="00117E89"/>
    <w:rsid w:val="001204A2"/>
    <w:rsid w:val="001205CD"/>
    <w:rsid w:val="00120B55"/>
    <w:rsid w:val="001224ED"/>
    <w:rsid w:val="00123827"/>
    <w:rsid w:val="00123A90"/>
    <w:rsid w:val="00130084"/>
    <w:rsid w:val="00130A73"/>
    <w:rsid w:val="00130B2C"/>
    <w:rsid w:val="0013190A"/>
    <w:rsid w:val="00134043"/>
    <w:rsid w:val="00134A8E"/>
    <w:rsid w:val="001412AB"/>
    <w:rsid w:val="001423E5"/>
    <w:rsid w:val="00143634"/>
    <w:rsid w:val="00144936"/>
    <w:rsid w:val="00144DEB"/>
    <w:rsid w:val="001476FB"/>
    <w:rsid w:val="0015160C"/>
    <w:rsid w:val="0015231E"/>
    <w:rsid w:val="00153931"/>
    <w:rsid w:val="00155D39"/>
    <w:rsid w:val="00161722"/>
    <w:rsid w:val="0016345D"/>
    <w:rsid w:val="00163AC5"/>
    <w:rsid w:val="00163F6F"/>
    <w:rsid w:val="00164F39"/>
    <w:rsid w:val="00172F33"/>
    <w:rsid w:val="00174012"/>
    <w:rsid w:val="001833E7"/>
    <w:rsid w:val="0018363D"/>
    <w:rsid w:val="0018645B"/>
    <w:rsid w:val="00187DEE"/>
    <w:rsid w:val="00190643"/>
    <w:rsid w:val="0019183F"/>
    <w:rsid w:val="001927DD"/>
    <w:rsid w:val="0019282C"/>
    <w:rsid w:val="001934FC"/>
    <w:rsid w:val="00194358"/>
    <w:rsid w:val="00194A95"/>
    <w:rsid w:val="001A0754"/>
    <w:rsid w:val="001A2AA8"/>
    <w:rsid w:val="001A32B6"/>
    <w:rsid w:val="001A3AF4"/>
    <w:rsid w:val="001A5429"/>
    <w:rsid w:val="001A696D"/>
    <w:rsid w:val="001A6C17"/>
    <w:rsid w:val="001B01D9"/>
    <w:rsid w:val="001B0AA7"/>
    <w:rsid w:val="001B24DE"/>
    <w:rsid w:val="001B26E4"/>
    <w:rsid w:val="001B31D5"/>
    <w:rsid w:val="001C2FE7"/>
    <w:rsid w:val="001C723F"/>
    <w:rsid w:val="001D02C5"/>
    <w:rsid w:val="001D1F76"/>
    <w:rsid w:val="001D2AD9"/>
    <w:rsid w:val="001D2F4A"/>
    <w:rsid w:val="001D7108"/>
    <w:rsid w:val="001E2EA1"/>
    <w:rsid w:val="001E533F"/>
    <w:rsid w:val="001E7997"/>
    <w:rsid w:val="001F13D6"/>
    <w:rsid w:val="001F1CBB"/>
    <w:rsid w:val="001F25B2"/>
    <w:rsid w:val="001F2920"/>
    <w:rsid w:val="001F673F"/>
    <w:rsid w:val="00202DF9"/>
    <w:rsid w:val="002079AE"/>
    <w:rsid w:val="00207BFF"/>
    <w:rsid w:val="00207F22"/>
    <w:rsid w:val="002117FF"/>
    <w:rsid w:val="0021270E"/>
    <w:rsid w:val="0021353A"/>
    <w:rsid w:val="002160F2"/>
    <w:rsid w:val="00216526"/>
    <w:rsid w:val="00217AC4"/>
    <w:rsid w:val="00220D6D"/>
    <w:rsid w:val="00221CAA"/>
    <w:rsid w:val="00223584"/>
    <w:rsid w:val="00226242"/>
    <w:rsid w:val="002262A0"/>
    <w:rsid w:val="0022677C"/>
    <w:rsid w:val="00227FEE"/>
    <w:rsid w:val="002306F1"/>
    <w:rsid w:val="00233CC0"/>
    <w:rsid w:val="00237BD7"/>
    <w:rsid w:val="00241867"/>
    <w:rsid w:val="00241AFD"/>
    <w:rsid w:val="00250739"/>
    <w:rsid w:val="00253190"/>
    <w:rsid w:val="00254A91"/>
    <w:rsid w:val="00255890"/>
    <w:rsid w:val="00256EE5"/>
    <w:rsid w:val="0026051A"/>
    <w:rsid w:val="00261892"/>
    <w:rsid w:val="00265D6E"/>
    <w:rsid w:val="00270232"/>
    <w:rsid w:val="0027059F"/>
    <w:rsid w:val="00272B37"/>
    <w:rsid w:val="0027480A"/>
    <w:rsid w:val="002766B7"/>
    <w:rsid w:val="002812BD"/>
    <w:rsid w:val="002814E1"/>
    <w:rsid w:val="00281720"/>
    <w:rsid w:val="00282451"/>
    <w:rsid w:val="00293AE2"/>
    <w:rsid w:val="00293FBE"/>
    <w:rsid w:val="00294745"/>
    <w:rsid w:val="00294C50"/>
    <w:rsid w:val="002A2B59"/>
    <w:rsid w:val="002A2FC6"/>
    <w:rsid w:val="002A4437"/>
    <w:rsid w:val="002A72A9"/>
    <w:rsid w:val="002B31F0"/>
    <w:rsid w:val="002B4B6B"/>
    <w:rsid w:val="002B749A"/>
    <w:rsid w:val="002C35B8"/>
    <w:rsid w:val="002C51FB"/>
    <w:rsid w:val="002C606C"/>
    <w:rsid w:val="002C6387"/>
    <w:rsid w:val="002D12A4"/>
    <w:rsid w:val="002E0F74"/>
    <w:rsid w:val="002E2889"/>
    <w:rsid w:val="002E2C6D"/>
    <w:rsid w:val="002E4ED7"/>
    <w:rsid w:val="002E4FB3"/>
    <w:rsid w:val="002E60B0"/>
    <w:rsid w:val="002F1CCE"/>
    <w:rsid w:val="002F1D88"/>
    <w:rsid w:val="002F3CAF"/>
    <w:rsid w:val="002F5BFD"/>
    <w:rsid w:val="002F5EFC"/>
    <w:rsid w:val="00300854"/>
    <w:rsid w:val="003013CA"/>
    <w:rsid w:val="00301750"/>
    <w:rsid w:val="00303A5F"/>
    <w:rsid w:val="0030699F"/>
    <w:rsid w:val="00307FCC"/>
    <w:rsid w:val="003100A3"/>
    <w:rsid w:val="003116BD"/>
    <w:rsid w:val="003127F5"/>
    <w:rsid w:val="003139A3"/>
    <w:rsid w:val="00313E8D"/>
    <w:rsid w:val="0031458D"/>
    <w:rsid w:val="0031549A"/>
    <w:rsid w:val="00315648"/>
    <w:rsid w:val="003165FC"/>
    <w:rsid w:val="003170D5"/>
    <w:rsid w:val="003223DD"/>
    <w:rsid w:val="00322A25"/>
    <w:rsid w:val="0032354C"/>
    <w:rsid w:val="00323DF4"/>
    <w:rsid w:val="00323E40"/>
    <w:rsid w:val="003272F3"/>
    <w:rsid w:val="00327375"/>
    <w:rsid w:val="00327377"/>
    <w:rsid w:val="003346ED"/>
    <w:rsid w:val="00335046"/>
    <w:rsid w:val="003350B1"/>
    <w:rsid w:val="0033561C"/>
    <w:rsid w:val="00343303"/>
    <w:rsid w:val="00346C0A"/>
    <w:rsid w:val="0035164C"/>
    <w:rsid w:val="00351A8B"/>
    <w:rsid w:val="00351C6C"/>
    <w:rsid w:val="003562DD"/>
    <w:rsid w:val="003606ED"/>
    <w:rsid w:val="00362C42"/>
    <w:rsid w:val="003635DE"/>
    <w:rsid w:val="00364685"/>
    <w:rsid w:val="00364CDD"/>
    <w:rsid w:val="003707C5"/>
    <w:rsid w:val="00371858"/>
    <w:rsid w:val="0037277F"/>
    <w:rsid w:val="00372A8F"/>
    <w:rsid w:val="00372EC8"/>
    <w:rsid w:val="00373586"/>
    <w:rsid w:val="00374629"/>
    <w:rsid w:val="0038058B"/>
    <w:rsid w:val="00386872"/>
    <w:rsid w:val="00386B20"/>
    <w:rsid w:val="00394B89"/>
    <w:rsid w:val="00395091"/>
    <w:rsid w:val="003A34BC"/>
    <w:rsid w:val="003A54E2"/>
    <w:rsid w:val="003A5659"/>
    <w:rsid w:val="003A5F2D"/>
    <w:rsid w:val="003A71E8"/>
    <w:rsid w:val="003A7B52"/>
    <w:rsid w:val="003B2448"/>
    <w:rsid w:val="003B3756"/>
    <w:rsid w:val="003B3992"/>
    <w:rsid w:val="003B3D6D"/>
    <w:rsid w:val="003C0EE0"/>
    <w:rsid w:val="003C3C5A"/>
    <w:rsid w:val="003C3E66"/>
    <w:rsid w:val="003C5F48"/>
    <w:rsid w:val="003C61B2"/>
    <w:rsid w:val="003C67DA"/>
    <w:rsid w:val="003C7AD1"/>
    <w:rsid w:val="003D0C86"/>
    <w:rsid w:val="003D2BAE"/>
    <w:rsid w:val="003D316B"/>
    <w:rsid w:val="003D6FED"/>
    <w:rsid w:val="003E36CE"/>
    <w:rsid w:val="003E36D0"/>
    <w:rsid w:val="003E73DE"/>
    <w:rsid w:val="003F365E"/>
    <w:rsid w:val="003F442A"/>
    <w:rsid w:val="003F48C8"/>
    <w:rsid w:val="003F4B69"/>
    <w:rsid w:val="003F7181"/>
    <w:rsid w:val="004039A8"/>
    <w:rsid w:val="0040564F"/>
    <w:rsid w:val="004073A1"/>
    <w:rsid w:val="00410C61"/>
    <w:rsid w:val="0041111A"/>
    <w:rsid w:val="00412772"/>
    <w:rsid w:val="00413246"/>
    <w:rsid w:val="004142E2"/>
    <w:rsid w:val="00426D1F"/>
    <w:rsid w:val="004279AC"/>
    <w:rsid w:val="0043162A"/>
    <w:rsid w:val="004332AA"/>
    <w:rsid w:val="00435BEF"/>
    <w:rsid w:val="00435D94"/>
    <w:rsid w:val="00435FC5"/>
    <w:rsid w:val="00436969"/>
    <w:rsid w:val="00436B61"/>
    <w:rsid w:val="00436B6D"/>
    <w:rsid w:val="004371D6"/>
    <w:rsid w:val="00437EDE"/>
    <w:rsid w:val="00441F09"/>
    <w:rsid w:val="004444E9"/>
    <w:rsid w:val="0044505A"/>
    <w:rsid w:val="00454409"/>
    <w:rsid w:val="00455D54"/>
    <w:rsid w:val="0045797E"/>
    <w:rsid w:val="00460999"/>
    <w:rsid w:val="00461C0C"/>
    <w:rsid w:val="00465619"/>
    <w:rsid w:val="0046659C"/>
    <w:rsid w:val="00466C50"/>
    <w:rsid w:val="00472C0D"/>
    <w:rsid w:val="00474A2A"/>
    <w:rsid w:val="00475036"/>
    <w:rsid w:val="00475EED"/>
    <w:rsid w:val="00476014"/>
    <w:rsid w:val="004770CE"/>
    <w:rsid w:val="0048160C"/>
    <w:rsid w:val="004857E7"/>
    <w:rsid w:val="00485A85"/>
    <w:rsid w:val="00486C63"/>
    <w:rsid w:val="00490322"/>
    <w:rsid w:val="00491F3C"/>
    <w:rsid w:val="00493A95"/>
    <w:rsid w:val="00496371"/>
    <w:rsid w:val="00496547"/>
    <w:rsid w:val="004A05ED"/>
    <w:rsid w:val="004A1969"/>
    <w:rsid w:val="004A266F"/>
    <w:rsid w:val="004A3625"/>
    <w:rsid w:val="004A4CA6"/>
    <w:rsid w:val="004A72B5"/>
    <w:rsid w:val="004A7944"/>
    <w:rsid w:val="004B1229"/>
    <w:rsid w:val="004B18C0"/>
    <w:rsid w:val="004B45D9"/>
    <w:rsid w:val="004B46C8"/>
    <w:rsid w:val="004B72DA"/>
    <w:rsid w:val="004B72EF"/>
    <w:rsid w:val="004B75F2"/>
    <w:rsid w:val="004B774E"/>
    <w:rsid w:val="004B7960"/>
    <w:rsid w:val="004C0518"/>
    <w:rsid w:val="004C0604"/>
    <w:rsid w:val="004C5604"/>
    <w:rsid w:val="004D0E37"/>
    <w:rsid w:val="004D5A5C"/>
    <w:rsid w:val="004D66A0"/>
    <w:rsid w:val="004D6CA6"/>
    <w:rsid w:val="004D7D67"/>
    <w:rsid w:val="004E0478"/>
    <w:rsid w:val="004E4BD3"/>
    <w:rsid w:val="004E541A"/>
    <w:rsid w:val="004E6229"/>
    <w:rsid w:val="004F1980"/>
    <w:rsid w:val="004F202F"/>
    <w:rsid w:val="004F2B12"/>
    <w:rsid w:val="004F2EFF"/>
    <w:rsid w:val="005025F3"/>
    <w:rsid w:val="005058EC"/>
    <w:rsid w:val="00505A8C"/>
    <w:rsid w:val="0050743E"/>
    <w:rsid w:val="005126FE"/>
    <w:rsid w:val="00517A2C"/>
    <w:rsid w:val="0052034B"/>
    <w:rsid w:val="00521DC1"/>
    <w:rsid w:val="0052202A"/>
    <w:rsid w:val="005233B6"/>
    <w:rsid w:val="00524486"/>
    <w:rsid w:val="005274E5"/>
    <w:rsid w:val="00534805"/>
    <w:rsid w:val="00534BC6"/>
    <w:rsid w:val="0053527F"/>
    <w:rsid w:val="00535BB0"/>
    <w:rsid w:val="00536F93"/>
    <w:rsid w:val="00540A27"/>
    <w:rsid w:val="00541492"/>
    <w:rsid w:val="00541DE4"/>
    <w:rsid w:val="005421C3"/>
    <w:rsid w:val="005425FA"/>
    <w:rsid w:val="00543F5F"/>
    <w:rsid w:val="00544299"/>
    <w:rsid w:val="00544441"/>
    <w:rsid w:val="00544628"/>
    <w:rsid w:val="00544CA7"/>
    <w:rsid w:val="00546259"/>
    <w:rsid w:val="00547C4B"/>
    <w:rsid w:val="00552267"/>
    <w:rsid w:val="0055303E"/>
    <w:rsid w:val="00560EEE"/>
    <w:rsid w:val="0056122D"/>
    <w:rsid w:val="00562695"/>
    <w:rsid w:val="00562E3D"/>
    <w:rsid w:val="00562F57"/>
    <w:rsid w:val="005637FA"/>
    <w:rsid w:val="00564D7C"/>
    <w:rsid w:val="00565A2D"/>
    <w:rsid w:val="00566C53"/>
    <w:rsid w:val="00571C7E"/>
    <w:rsid w:val="00571F9E"/>
    <w:rsid w:val="00572C29"/>
    <w:rsid w:val="00572F78"/>
    <w:rsid w:val="00577F18"/>
    <w:rsid w:val="005810B9"/>
    <w:rsid w:val="00581367"/>
    <w:rsid w:val="005822C4"/>
    <w:rsid w:val="00582860"/>
    <w:rsid w:val="0059083B"/>
    <w:rsid w:val="00590A74"/>
    <w:rsid w:val="00591D23"/>
    <w:rsid w:val="0059475F"/>
    <w:rsid w:val="00595687"/>
    <w:rsid w:val="00596218"/>
    <w:rsid w:val="005A334F"/>
    <w:rsid w:val="005A5DE1"/>
    <w:rsid w:val="005A62EF"/>
    <w:rsid w:val="005B1B18"/>
    <w:rsid w:val="005B2C4C"/>
    <w:rsid w:val="005C1B84"/>
    <w:rsid w:val="005C4FB1"/>
    <w:rsid w:val="005C7325"/>
    <w:rsid w:val="005D27C1"/>
    <w:rsid w:val="005D684B"/>
    <w:rsid w:val="005E1434"/>
    <w:rsid w:val="005E75BE"/>
    <w:rsid w:val="005E7610"/>
    <w:rsid w:val="005F09B0"/>
    <w:rsid w:val="005F108A"/>
    <w:rsid w:val="005F178C"/>
    <w:rsid w:val="005F200F"/>
    <w:rsid w:val="005F2A0B"/>
    <w:rsid w:val="005F2AA2"/>
    <w:rsid w:val="005F3531"/>
    <w:rsid w:val="005F4F05"/>
    <w:rsid w:val="005F68A5"/>
    <w:rsid w:val="006016EE"/>
    <w:rsid w:val="00605E18"/>
    <w:rsid w:val="006074F5"/>
    <w:rsid w:val="006171B5"/>
    <w:rsid w:val="00623BE4"/>
    <w:rsid w:val="00626428"/>
    <w:rsid w:val="006269FE"/>
    <w:rsid w:val="00626B2E"/>
    <w:rsid w:val="00640AFA"/>
    <w:rsid w:val="006423CF"/>
    <w:rsid w:val="0064305F"/>
    <w:rsid w:val="00643063"/>
    <w:rsid w:val="00647DA1"/>
    <w:rsid w:val="006517A6"/>
    <w:rsid w:val="00656B2C"/>
    <w:rsid w:val="00660C1C"/>
    <w:rsid w:val="006628F5"/>
    <w:rsid w:val="006644F5"/>
    <w:rsid w:val="00664588"/>
    <w:rsid w:val="00670E26"/>
    <w:rsid w:val="006724F8"/>
    <w:rsid w:val="00674CF9"/>
    <w:rsid w:val="0067611E"/>
    <w:rsid w:val="00681D8D"/>
    <w:rsid w:val="00683907"/>
    <w:rsid w:val="006844CA"/>
    <w:rsid w:val="006859FE"/>
    <w:rsid w:val="00685E55"/>
    <w:rsid w:val="00685FB6"/>
    <w:rsid w:val="00695050"/>
    <w:rsid w:val="00697146"/>
    <w:rsid w:val="006A1E27"/>
    <w:rsid w:val="006A6C19"/>
    <w:rsid w:val="006B030C"/>
    <w:rsid w:val="006B0771"/>
    <w:rsid w:val="006B2EDA"/>
    <w:rsid w:val="006B403C"/>
    <w:rsid w:val="006C15AA"/>
    <w:rsid w:val="006C7BDD"/>
    <w:rsid w:val="006D2285"/>
    <w:rsid w:val="006D4000"/>
    <w:rsid w:val="006E3442"/>
    <w:rsid w:val="006E467C"/>
    <w:rsid w:val="006E4B91"/>
    <w:rsid w:val="006E63F8"/>
    <w:rsid w:val="006E7FC8"/>
    <w:rsid w:val="006F1BC7"/>
    <w:rsid w:val="006F44C2"/>
    <w:rsid w:val="006F6AE3"/>
    <w:rsid w:val="0070056D"/>
    <w:rsid w:val="00704AB2"/>
    <w:rsid w:val="00705A70"/>
    <w:rsid w:val="0070786F"/>
    <w:rsid w:val="00713937"/>
    <w:rsid w:val="00715731"/>
    <w:rsid w:val="0072041B"/>
    <w:rsid w:val="00722117"/>
    <w:rsid w:val="00722E79"/>
    <w:rsid w:val="00726B4C"/>
    <w:rsid w:val="00727E70"/>
    <w:rsid w:val="00730A0F"/>
    <w:rsid w:val="00742F54"/>
    <w:rsid w:val="00743B8D"/>
    <w:rsid w:val="007459FB"/>
    <w:rsid w:val="007474AA"/>
    <w:rsid w:val="00747C3E"/>
    <w:rsid w:val="0075165A"/>
    <w:rsid w:val="00754714"/>
    <w:rsid w:val="00755BB5"/>
    <w:rsid w:val="007575C1"/>
    <w:rsid w:val="00760DC3"/>
    <w:rsid w:val="00763441"/>
    <w:rsid w:val="007635EF"/>
    <w:rsid w:val="007643A5"/>
    <w:rsid w:val="0076570D"/>
    <w:rsid w:val="00766534"/>
    <w:rsid w:val="00766CFF"/>
    <w:rsid w:val="00767200"/>
    <w:rsid w:val="007709DC"/>
    <w:rsid w:val="007718F7"/>
    <w:rsid w:val="0077749A"/>
    <w:rsid w:val="0078202B"/>
    <w:rsid w:val="00784698"/>
    <w:rsid w:val="00784B3D"/>
    <w:rsid w:val="00784BB0"/>
    <w:rsid w:val="00785514"/>
    <w:rsid w:val="007865C4"/>
    <w:rsid w:val="00786676"/>
    <w:rsid w:val="00791033"/>
    <w:rsid w:val="007929E8"/>
    <w:rsid w:val="007974FE"/>
    <w:rsid w:val="00797749"/>
    <w:rsid w:val="00797CBB"/>
    <w:rsid w:val="00797ECA"/>
    <w:rsid w:val="007A3FCF"/>
    <w:rsid w:val="007A79BE"/>
    <w:rsid w:val="007B115E"/>
    <w:rsid w:val="007B14BE"/>
    <w:rsid w:val="007B17C4"/>
    <w:rsid w:val="007B3F17"/>
    <w:rsid w:val="007B437D"/>
    <w:rsid w:val="007B4C25"/>
    <w:rsid w:val="007B66C1"/>
    <w:rsid w:val="007B6F98"/>
    <w:rsid w:val="007C4D72"/>
    <w:rsid w:val="007C504C"/>
    <w:rsid w:val="007C535F"/>
    <w:rsid w:val="007C76E7"/>
    <w:rsid w:val="007D2945"/>
    <w:rsid w:val="007D362A"/>
    <w:rsid w:val="007D3CA7"/>
    <w:rsid w:val="007D3CF4"/>
    <w:rsid w:val="007D46FF"/>
    <w:rsid w:val="007D4722"/>
    <w:rsid w:val="007D4A57"/>
    <w:rsid w:val="007D77F5"/>
    <w:rsid w:val="007E2D29"/>
    <w:rsid w:val="007E4394"/>
    <w:rsid w:val="007E570C"/>
    <w:rsid w:val="007E7E27"/>
    <w:rsid w:val="007F2FC9"/>
    <w:rsid w:val="007F4B3F"/>
    <w:rsid w:val="00801D83"/>
    <w:rsid w:val="00803CAE"/>
    <w:rsid w:val="00812A8B"/>
    <w:rsid w:val="00817385"/>
    <w:rsid w:val="0082360A"/>
    <w:rsid w:val="008236E1"/>
    <w:rsid w:val="008260CD"/>
    <w:rsid w:val="00826C3E"/>
    <w:rsid w:val="00830874"/>
    <w:rsid w:val="00841A7A"/>
    <w:rsid w:val="00845AAD"/>
    <w:rsid w:val="008470BE"/>
    <w:rsid w:val="00847C32"/>
    <w:rsid w:val="00850B3A"/>
    <w:rsid w:val="00850CD0"/>
    <w:rsid w:val="008517F1"/>
    <w:rsid w:val="0085509E"/>
    <w:rsid w:val="0085657E"/>
    <w:rsid w:val="008567DC"/>
    <w:rsid w:val="00856C48"/>
    <w:rsid w:val="00862533"/>
    <w:rsid w:val="0086791B"/>
    <w:rsid w:val="008719BC"/>
    <w:rsid w:val="0087723C"/>
    <w:rsid w:val="00882A28"/>
    <w:rsid w:val="0088334E"/>
    <w:rsid w:val="00885468"/>
    <w:rsid w:val="00887FE1"/>
    <w:rsid w:val="00891AA8"/>
    <w:rsid w:val="008927CC"/>
    <w:rsid w:val="00892E25"/>
    <w:rsid w:val="00892FBA"/>
    <w:rsid w:val="008A07E6"/>
    <w:rsid w:val="008A3B40"/>
    <w:rsid w:val="008A47DA"/>
    <w:rsid w:val="008A4F91"/>
    <w:rsid w:val="008A7C56"/>
    <w:rsid w:val="008B1196"/>
    <w:rsid w:val="008B249F"/>
    <w:rsid w:val="008B6089"/>
    <w:rsid w:val="008B65AF"/>
    <w:rsid w:val="008B754D"/>
    <w:rsid w:val="008C0C9A"/>
    <w:rsid w:val="008C0D35"/>
    <w:rsid w:val="008C5FD6"/>
    <w:rsid w:val="008D1A66"/>
    <w:rsid w:val="008D3290"/>
    <w:rsid w:val="008D3644"/>
    <w:rsid w:val="008D536E"/>
    <w:rsid w:val="008E1115"/>
    <w:rsid w:val="008E124C"/>
    <w:rsid w:val="008E176E"/>
    <w:rsid w:val="008E215D"/>
    <w:rsid w:val="008E26C3"/>
    <w:rsid w:val="008E57F0"/>
    <w:rsid w:val="008E62E1"/>
    <w:rsid w:val="008E72B8"/>
    <w:rsid w:val="008F0934"/>
    <w:rsid w:val="008F0936"/>
    <w:rsid w:val="008F5A0A"/>
    <w:rsid w:val="0090214F"/>
    <w:rsid w:val="00903143"/>
    <w:rsid w:val="00903180"/>
    <w:rsid w:val="00903189"/>
    <w:rsid w:val="00906CC1"/>
    <w:rsid w:val="009128D2"/>
    <w:rsid w:val="00913112"/>
    <w:rsid w:val="00915C16"/>
    <w:rsid w:val="00916D09"/>
    <w:rsid w:val="00916EAA"/>
    <w:rsid w:val="00925BE3"/>
    <w:rsid w:val="009313CB"/>
    <w:rsid w:val="009318FD"/>
    <w:rsid w:val="00934435"/>
    <w:rsid w:val="00934EB6"/>
    <w:rsid w:val="00937CEC"/>
    <w:rsid w:val="0094196E"/>
    <w:rsid w:val="0094199C"/>
    <w:rsid w:val="00943282"/>
    <w:rsid w:val="00945C92"/>
    <w:rsid w:val="00947107"/>
    <w:rsid w:val="00950177"/>
    <w:rsid w:val="00952E67"/>
    <w:rsid w:val="009563F5"/>
    <w:rsid w:val="00956FE8"/>
    <w:rsid w:val="009577A9"/>
    <w:rsid w:val="00957D43"/>
    <w:rsid w:val="009647FA"/>
    <w:rsid w:val="0096524C"/>
    <w:rsid w:val="00967C14"/>
    <w:rsid w:val="009726D4"/>
    <w:rsid w:val="009741E3"/>
    <w:rsid w:val="00974596"/>
    <w:rsid w:val="00976CF3"/>
    <w:rsid w:val="00981306"/>
    <w:rsid w:val="009827B1"/>
    <w:rsid w:val="00982DEB"/>
    <w:rsid w:val="0098320C"/>
    <w:rsid w:val="009857B3"/>
    <w:rsid w:val="00987EAD"/>
    <w:rsid w:val="00990823"/>
    <w:rsid w:val="00996961"/>
    <w:rsid w:val="009A02C8"/>
    <w:rsid w:val="009A05AF"/>
    <w:rsid w:val="009A4085"/>
    <w:rsid w:val="009A6175"/>
    <w:rsid w:val="009A6EE4"/>
    <w:rsid w:val="009A7862"/>
    <w:rsid w:val="009B1711"/>
    <w:rsid w:val="009B1CC9"/>
    <w:rsid w:val="009B3192"/>
    <w:rsid w:val="009B3390"/>
    <w:rsid w:val="009B3B22"/>
    <w:rsid w:val="009B56E1"/>
    <w:rsid w:val="009C007E"/>
    <w:rsid w:val="009C3390"/>
    <w:rsid w:val="009C4F17"/>
    <w:rsid w:val="009D44C0"/>
    <w:rsid w:val="009D4894"/>
    <w:rsid w:val="009D60D6"/>
    <w:rsid w:val="009E707D"/>
    <w:rsid w:val="009F062E"/>
    <w:rsid w:val="009F1BFE"/>
    <w:rsid w:val="009F5FB8"/>
    <w:rsid w:val="00A030AA"/>
    <w:rsid w:val="00A120EE"/>
    <w:rsid w:val="00A136BD"/>
    <w:rsid w:val="00A20292"/>
    <w:rsid w:val="00A21EF2"/>
    <w:rsid w:val="00A24032"/>
    <w:rsid w:val="00A265EB"/>
    <w:rsid w:val="00A26B03"/>
    <w:rsid w:val="00A31614"/>
    <w:rsid w:val="00A32F00"/>
    <w:rsid w:val="00A37D35"/>
    <w:rsid w:val="00A44568"/>
    <w:rsid w:val="00A448EF"/>
    <w:rsid w:val="00A45CCC"/>
    <w:rsid w:val="00A45D9D"/>
    <w:rsid w:val="00A4750B"/>
    <w:rsid w:val="00A50A5A"/>
    <w:rsid w:val="00A535E4"/>
    <w:rsid w:val="00A546CD"/>
    <w:rsid w:val="00A54977"/>
    <w:rsid w:val="00A5528B"/>
    <w:rsid w:val="00A61D91"/>
    <w:rsid w:val="00A61FFC"/>
    <w:rsid w:val="00A623AC"/>
    <w:rsid w:val="00A63719"/>
    <w:rsid w:val="00A638CD"/>
    <w:rsid w:val="00A657EE"/>
    <w:rsid w:val="00A66C76"/>
    <w:rsid w:val="00A70338"/>
    <w:rsid w:val="00A7115E"/>
    <w:rsid w:val="00A71F98"/>
    <w:rsid w:val="00A76A2A"/>
    <w:rsid w:val="00A81A26"/>
    <w:rsid w:val="00A81E2B"/>
    <w:rsid w:val="00A86CFB"/>
    <w:rsid w:val="00A90590"/>
    <w:rsid w:val="00A906FC"/>
    <w:rsid w:val="00A90F3A"/>
    <w:rsid w:val="00A922CB"/>
    <w:rsid w:val="00A94647"/>
    <w:rsid w:val="00A96AF2"/>
    <w:rsid w:val="00AA0C14"/>
    <w:rsid w:val="00AA400A"/>
    <w:rsid w:val="00AA59AA"/>
    <w:rsid w:val="00AB0F9F"/>
    <w:rsid w:val="00AB3224"/>
    <w:rsid w:val="00AB45A8"/>
    <w:rsid w:val="00AB5945"/>
    <w:rsid w:val="00AB6C05"/>
    <w:rsid w:val="00AC2765"/>
    <w:rsid w:val="00AC47B7"/>
    <w:rsid w:val="00AC5E08"/>
    <w:rsid w:val="00AC6D2E"/>
    <w:rsid w:val="00AC75E0"/>
    <w:rsid w:val="00AD1710"/>
    <w:rsid w:val="00AD3282"/>
    <w:rsid w:val="00AD46E4"/>
    <w:rsid w:val="00AD6A07"/>
    <w:rsid w:val="00AE3A7D"/>
    <w:rsid w:val="00AF12DC"/>
    <w:rsid w:val="00AF16BB"/>
    <w:rsid w:val="00AF2ECE"/>
    <w:rsid w:val="00AF73DD"/>
    <w:rsid w:val="00B0093D"/>
    <w:rsid w:val="00B01CE8"/>
    <w:rsid w:val="00B020A0"/>
    <w:rsid w:val="00B0357E"/>
    <w:rsid w:val="00B03D7D"/>
    <w:rsid w:val="00B058E9"/>
    <w:rsid w:val="00B06511"/>
    <w:rsid w:val="00B1017A"/>
    <w:rsid w:val="00B10251"/>
    <w:rsid w:val="00B10735"/>
    <w:rsid w:val="00B10868"/>
    <w:rsid w:val="00B12445"/>
    <w:rsid w:val="00B157CF"/>
    <w:rsid w:val="00B17D29"/>
    <w:rsid w:val="00B23349"/>
    <w:rsid w:val="00B255AC"/>
    <w:rsid w:val="00B271EE"/>
    <w:rsid w:val="00B30791"/>
    <w:rsid w:val="00B36CFD"/>
    <w:rsid w:val="00B3724B"/>
    <w:rsid w:val="00B372D0"/>
    <w:rsid w:val="00B41BE9"/>
    <w:rsid w:val="00B462B8"/>
    <w:rsid w:val="00B47C28"/>
    <w:rsid w:val="00B5193D"/>
    <w:rsid w:val="00B51CB1"/>
    <w:rsid w:val="00B51FC1"/>
    <w:rsid w:val="00B525BD"/>
    <w:rsid w:val="00B56568"/>
    <w:rsid w:val="00B56BFD"/>
    <w:rsid w:val="00B62E7B"/>
    <w:rsid w:val="00B64D19"/>
    <w:rsid w:val="00B65383"/>
    <w:rsid w:val="00B7129F"/>
    <w:rsid w:val="00B71A4D"/>
    <w:rsid w:val="00B7308A"/>
    <w:rsid w:val="00B74AC4"/>
    <w:rsid w:val="00B769AE"/>
    <w:rsid w:val="00B82053"/>
    <w:rsid w:val="00B839DC"/>
    <w:rsid w:val="00B84A9F"/>
    <w:rsid w:val="00B84DBC"/>
    <w:rsid w:val="00B850BB"/>
    <w:rsid w:val="00B853C2"/>
    <w:rsid w:val="00B8763C"/>
    <w:rsid w:val="00B90E50"/>
    <w:rsid w:val="00B9574D"/>
    <w:rsid w:val="00BA0D7F"/>
    <w:rsid w:val="00BA64E6"/>
    <w:rsid w:val="00BA7F8E"/>
    <w:rsid w:val="00BB0095"/>
    <w:rsid w:val="00BB29CA"/>
    <w:rsid w:val="00BB39B9"/>
    <w:rsid w:val="00BC1FB6"/>
    <w:rsid w:val="00BC3E47"/>
    <w:rsid w:val="00BD0F91"/>
    <w:rsid w:val="00BD5BC7"/>
    <w:rsid w:val="00BD60E8"/>
    <w:rsid w:val="00BD665E"/>
    <w:rsid w:val="00BD6BC4"/>
    <w:rsid w:val="00BD7E52"/>
    <w:rsid w:val="00BE478D"/>
    <w:rsid w:val="00BE5E9B"/>
    <w:rsid w:val="00BE6803"/>
    <w:rsid w:val="00BF0879"/>
    <w:rsid w:val="00BF0A99"/>
    <w:rsid w:val="00BF20C7"/>
    <w:rsid w:val="00BF539E"/>
    <w:rsid w:val="00C00BD6"/>
    <w:rsid w:val="00C01DCF"/>
    <w:rsid w:val="00C0232A"/>
    <w:rsid w:val="00C0522D"/>
    <w:rsid w:val="00C076BF"/>
    <w:rsid w:val="00C14179"/>
    <w:rsid w:val="00C16562"/>
    <w:rsid w:val="00C172C5"/>
    <w:rsid w:val="00C2402E"/>
    <w:rsid w:val="00C26A6F"/>
    <w:rsid w:val="00C379C3"/>
    <w:rsid w:val="00C401A8"/>
    <w:rsid w:val="00C412D1"/>
    <w:rsid w:val="00C424FD"/>
    <w:rsid w:val="00C44C38"/>
    <w:rsid w:val="00C47E33"/>
    <w:rsid w:val="00C553E7"/>
    <w:rsid w:val="00C56789"/>
    <w:rsid w:val="00C578EE"/>
    <w:rsid w:val="00C64D07"/>
    <w:rsid w:val="00C6609F"/>
    <w:rsid w:val="00C7113B"/>
    <w:rsid w:val="00C749DE"/>
    <w:rsid w:val="00C77C2C"/>
    <w:rsid w:val="00C80D9C"/>
    <w:rsid w:val="00C85CD0"/>
    <w:rsid w:val="00C90F4B"/>
    <w:rsid w:val="00C910C9"/>
    <w:rsid w:val="00C91742"/>
    <w:rsid w:val="00C9256B"/>
    <w:rsid w:val="00C93327"/>
    <w:rsid w:val="00C95214"/>
    <w:rsid w:val="00CA5234"/>
    <w:rsid w:val="00CA57C9"/>
    <w:rsid w:val="00CA5F14"/>
    <w:rsid w:val="00CA788B"/>
    <w:rsid w:val="00CB51DA"/>
    <w:rsid w:val="00CB5CC6"/>
    <w:rsid w:val="00CB6C1B"/>
    <w:rsid w:val="00CC0136"/>
    <w:rsid w:val="00CC3098"/>
    <w:rsid w:val="00CC73C3"/>
    <w:rsid w:val="00CD30C0"/>
    <w:rsid w:val="00CD45E2"/>
    <w:rsid w:val="00CD485F"/>
    <w:rsid w:val="00CD6097"/>
    <w:rsid w:val="00CE1A4B"/>
    <w:rsid w:val="00CE1D96"/>
    <w:rsid w:val="00CE3E44"/>
    <w:rsid w:val="00CE459F"/>
    <w:rsid w:val="00CE503A"/>
    <w:rsid w:val="00CE5200"/>
    <w:rsid w:val="00CE543D"/>
    <w:rsid w:val="00CE5CA5"/>
    <w:rsid w:val="00CE76BF"/>
    <w:rsid w:val="00CF1196"/>
    <w:rsid w:val="00CF3503"/>
    <w:rsid w:val="00CF7F49"/>
    <w:rsid w:val="00D01693"/>
    <w:rsid w:val="00D01C55"/>
    <w:rsid w:val="00D02425"/>
    <w:rsid w:val="00D02467"/>
    <w:rsid w:val="00D04345"/>
    <w:rsid w:val="00D0636E"/>
    <w:rsid w:val="00D07DB7"/>
    <w:rsid w:val="00D1062F"/>
    <w:rsid w:val="00D12FA0"/>
    <w:rsid w:val="00D14E6B"/>
    <w:rsid w:val="00D21C52"/>
    <w:rsid w:val="00D23DEC"/>
    <w:rsid w:val="00D30C4E"/>
    <w:rsid w:val="00D323C5"/>
    <w:rsid w:val="00D357AC"/>
    <w:rsid w:val="00D379CB"/>
    <w:rsid w:val="00D42E07"/>
    <w:rsid w:val="00D45A77"/>
    <w:rsid w:val="00D45BF1"/>
    <w:rsid w:val="00D47D75"/>
    <w:rsid w:val="00D5729B"/>
    <w:rsid w:val="00D57307"/>
    <w:rsid w:val="00D602AC"/>
    <w:rsid w:val="00D63CD6"/>
    <w:rsid w:val="00D64BCD"/>
    <w:rsid w:val="00D6546C"/>
    <w:rsid w:val="00D65C5E"/>
    <w:rsid w:val="00D67291"/>
    <w:rsid w:val="00D71C0A"/>
    <w:rsid w:val="00D7407E"/>
    <w:rsid w:val="00D7489A"/>
    <w:rsid w:val="00D74E3F"/>
    <w:rsid w:val="00D7505C"/>
    <w:rsid w:val="00D76CA8"/>
    <w:rsid w:val="00D77D8B"/>
    <w:rsid w:val="00D800A0"/>
    <w:rsid w:val="00D80668"/>
    <w:rsid w:val="00D81F8F"/>
    <w:rsid w:val="00D840FB"/>
    <w:rsid w:val="00D84A7B"/>
    <w:rsid w:val="00D855C1"/>
    <w:rsid w:val="00D87023"/>
    <w:rsid w:val="00D919EF"/>
    <w:rsid w:val="00D91B1B"/>
    <w:rsid w:val="00D91C0B"/>
    <w:rsid w:val="00D92EC9"/>
    <w:rsid w:val="00D95299"/>
    <w:rsid w:val="00D95B33"/>
    <w:rsid w:val="00D96B10"/>
    <w:rsid w:val="00DA0C05"/>
    <w:rsid w:val="00DA1ABC"/>
    <w:rsid w:val="00DA2A88"/>
    <w:rsid w:val="00DA341E"/>
    <w:rsid w:val="00DA66EA"/>
    <w:rsid w:val="00DA7800"/>
    <w:rsid w:val="00DB4F87"/>
    <w:rsid w:val="00DB5D07"/>
    <w:rsid w:val="00DB6E27"/>
    <w:rsid w:val="00DB72FA"/>
    <w:rsid w:val="00DC2A60"/>
    <w:rsid w:val="00DC3730"/>
    <w:rsid w:val="00DC3CE7"/>
    <w:rsid w:val="00DC7439"/>
    <w:rsid w:val="00DD3C0F"/>
    <w:rsid w:val="00DD5BD0"/>
    <w:rsid w:val="00DD69FD"/>
    <w:rsid w:val="00DE15E6"/>
    <w:rsid w:val="00DE1629"/>
    <w:rsid w:val="00DE2374"/>
    <w:rsid w:val="00DE31F3"/>
    <w:rsid w:val="00DE6F8F"/>
    <w:rsid w:val="00DF05C5"/>
    <w:rsid w:val="00DF706C"/>
    <w:rsid w:val="00E0361B"/>
    <w:rsid w:val="00E10432"/>
    <w:rsid w:val="00E12041"/>
    <w:rsid w:val="00E16447"/>
    <w:rsid w:val="00E1752D"/>
    <w:rsid w:val="00E17FA0"/>
    <w:rsid w:val="00E20518"/>
    <w:rsid w:val="00E2060D"/>
    <w:rsid w:val="00E22655"/>
    <w:rsid w:val="00E26464"/>
    <w:rsid w:val="00E30BF6"/>
    <w:rsid w:val="00E40322"/>
    <w:rsid w:val="00E4198D"/>
    <w:rsid w:val="00E459E7"/>
    <w:rsid w:val="00E50B11"/>
    <w:rsid w:val="00E51DE1"/>
    <w:rsid w:val="00E52DE8"/>
    <w:rsid w:val="00E52FA1"/>
    <w:rsid w:val="00E53697"/>
    <w:rsid w:val="00E53E68"/>
    <w:rsid w:val="00E547F5"/>
    <w:rsid w:val="00E610A8"/>
    <w:rsid w:val="00E62D86"/>
    <w:rsid w:val="00E62F1E"/>
    <w:rsid w:val="00E63D17"/>
    <w:rsid w:val="00E6434E"/>
    <w:rsid w:val="00E663D9"/>
    <w:rsid w:val="00E70101"/>
    <w:rsid w:val="00E72032"/>
    <w:rsid w:val="00E72908"/>
    <w:rsid w:val="00E73C5D"/>
    <w:rsid w:val="00E806B8"/>
    <w:rsid w:val="00E8152E"/>
    <w:rsid w:val="00E83BAB"/>
    <w:rsid w:val="00E90251"/>
    <w:rsid w:val="00E91DBC"/>
    <w:rsid w:val="00E9346B"/>
    <w:rsid w:val="00E96E63"/>
    <w:rsid w:val="00E9743E"/>
    <w:rsid w:val="00E97C9B"/>
    <w:rsid w:val="00EA0D60"/>
    <w:rsid w:val="00EA3DD2"/>
    <w:rsid w:val="00EA4211"/>
    <w:rsid w:val="00EA45E9"/>
    <w:rsid w:val="00EA53E3"/>
    <w:rsid w:val="00EA542B"/>
    <w:rsid w:val="00EA7098"/>
    <w:rsid w:val="00EB27FE"/>
    <w:rsid w:val="00EB6881"/>
    <w:rsid w:val="00EB6C65"/>
    <w:rsid w:val="00EC087C"/>
    <w:rsid w:val="00EC15F5"/>
    <w:rsid w:val="00EC3381"/>
    <w:rsid w:val="00EC4113"/>
    <w:rsid w:val="00EC7E2F"/>
    <w:rsid w:val="00ED275A"/>
    <w:rsid w:val="00ED6A1D"/>
    <w:rsid w:val="00EE6EAC"/>
    <w:rsid w:val="00EF16C9"/>
    <w:rsid w:val="00EF2D1E"/>
    <w:rsid w:val="00EF3C0E"/>
    <w:rsid w:val="00EF703D"/>
    <w:rsid w:val="00F05A71"/>
    <w:rsid w:val="00F063E6"/>
    <w:rsid w:val="00F07CCD"/>
    <w:rsid w:val="00F1201E"/>
    <w:rsid w:val="00F158CE"/>
    <w:rsid w:val="00F178E5"/>
    <w:rsid w:val="00F1794C"/>
    <w:rsid w:val="00F20095"/>
    <w:rsid w:val="00F203CE"/>
    <w:rsid w:val="00F23389"/>
    <w:rsid w:val="00F24133"/>
    <w:rsid w:val="00F24EBC"/>
    <w:rsid w:val="00F26023"/>
    <w:rsid w:val="00F34CC0"/>
    <w:rsid w:val="00F35B28"/>
    <w:rsid w:val="00F41F3B"/>
    <w:rsid w:val="00F45DD6"/>
    <w:rsid w:val="00F5077B"/>
    <w:rsid w:val="00F5132F"/>
    <w:rsid w:val="00F518B1"/>
    <w:rsid w:val="00F53A16"/>
    <w:rsid w:val="00F54002"/>
    <w:rsid w:val="00F552AC"/>
    <w:rsid w:val="00F55CAB"/>
    <w:rsid w:val="00F55D7B"/>
    <w:rsid w:val="00F55F45"/>
    <w:rsid w:val="00F5671C"/>
    <w:rsid w:val="00F6075F"/>
    <w:rsid w:val="00F61614"/>
    <w:rsid w:val="00F6198B"/>
    <w:rsid w:val="00F669FE"/>
    <w:rsid w:val="00F71D16"/>
    <w:rsid w:val="00F7371B"/>
    <w:rsid w:val="00F7482D"/>
    <w:rsid w:val="00F76EFF"/>
    <w:rsid w:val="00F803CB"/>
    <w:rsid w:val="00F82002"/>
    <w:rsid w:val="00F8283D"/>
    <w:rsid w:val="00F82E77"/>
    <w:rsid w:val="00F930DE"/>
    <w:rsid w:val="00F940FD"/>
    <w:rsid w:val="00F953EE"/>
    <w:rsid w:val="00F95EA9"/>
    <w:rsid w:val="00F964BF"/>
    <w:rsid w:val="00F96738"/>
    <w:rsid w:val="00F97F3A"/>
    <w:rsid w:val="00FB2632"/>
    <w:rsid w:val="00FB6890"/>
    <w:rsid w:val="00FC052F"/>
    <w:rsid w:val="00FC46D5"/>
    <w:rsid w:val="00FC7AB8"/>
    <w:rsid w:val="00FC7EBA"/>
    <w:rsid w:val="00FC7EC9"/>
    <w:rsid w:val="00FD10B7"/>
    <w:rsid w:val="00FD10C5"/>
    <w:rsid w:val="00FD40B2"/>
    <w:rsid w:val="00FD66C7"/>
    <w:rsid w:val="00FD6F85"/>
    <w:rsid w:val="00FD71E4"/>
    <w:rsid w:val="00FE0556"/>
    <w:rsid w:val="00FE7892"/>
    <w:rsid w:val="00FF271F"/>
    <w:rsid w:val="00FF37EA"/>
    <w:rsid w:val="00FF41EC"/>
    <w:rsid w:val="00FF609E"/>
    <w:rsid w:val="00FF68FF"/>
    <w:rsid w:val="00FF6B83"/>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8D79343D-5D26-42F9-9B38-FA463A7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semiHidden/>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vestro.com/press/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6zTWvIB75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oves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18E211912629489C5F72EABFEF5D46" ma:contentTypeVersion="13" ma:contentTypeDescription="Ein neues Dokument erstellen." ma:contentTypeScope="" ma:versionID="36d397f1f99205051b231f3ec2c5f9c4">
  <xsd:schema xmlns:xsd="http://www.w3.org/2001/XMLSchema" xmlns:xs="http://www.w3.org/2001/XMLSchema" xmlns:p="http://schemas.microsoft.com/office/2006/metadata/properties" xmlns:ns3="b48e61ce-e4f8-451b-b461-297e83340137" xmlns:ns4="5c077dd9-9f40-435d-93fc-24bf074b82be" targetNamespace="http://schemas.microsoft.com/office/2006/metadata/properties" ma:root="true" ma:fieldsID="07ac9cf354249edbce6327426a71463d" ns3:_="" ns4:_="">
    <xsd:import namespace="b48e61ce-e4f8-451b-b461-297e83340137"/>
    <xsd:import namespace="5c077dd9-9f40-435d-93fc-24bf074b8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61ce-e4f8-451b-b461-297e8334013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77dd9-9f40-435d-93fc-24bf074b82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48B49-507D-4BAC-B30E-C18E5E8BD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61ce-e4f8-451b-b461-297e83340137"/>
    <ds:schemaRef ds:uri="5c077dd9-9f40-435d-93fc-24bf074b8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13235</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Carolin Mann</cp:lastModifiedBy>
  <cp:revision>3</cp:revision>
  <cp:lastPrinted>2021-02-22T20:16:00Z</cp:lastPrinted>
  <dcterms:created xsi:type="dcterms:W3CDTF">2021-02-22T19:40:00Z</dcterms:created>
  <dcterms:modified xsi:type="dcterms:W3CDTF">2021-02-22T20:16:00Z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0x0101005B18E211912629489C5F72EABFEF5D46</vt:lpwstr>
  </property>
</Properties>
</file>