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3059" w14:textId="3C10AA17" w:rsidR="002E4ED7" w:rsidRPr="00D67291" w:rsidRDefault="00072F6C" w:rsidP="00E86120">
      <w:pPr>
        <w:spacing w:after="0" w:line="300" w:lineRule="atLeast"/>
        <w:rPr>
          <w:lang w:val="de-DE"/>
        </w:rPr>
      </w:pPr>
      <w:r>
        <w:rPr>
          <w:lang w:val="de-DE"/>
        </w:rPr>
        <w:t xml:space="preserve">Erstes Quartal 2022: </w:t>
      </w:r>
      <w:r w:rsidR="003077B7">
        <w:rPr>
          <w:lang w:val="de-DE"/>
        </w:rPr>
        <w:t xml:space="preserve">Hohe Nachfrage </w:t>
      </w:r>
      <w:r w:rsidR="00116ACF">
        <w:rPr>
          <w:lang w:val="de-DE"/>
        </w:rPr>
        <w:t>zum Jahresbeginn fortgesetzt</w:t>
      </w:r>
      <w:r w:rsidR="000A2F3D">
        <w:rPr>
          <w:lang w:val="de-DE"/>
        </w:rPr>
        <w:t xml:space="preserve"> </w:t>
      </w:r>
    </w:p>
    <w:p w14:paraId="13577AEF" w14:textId="77777777" w:rsidR="00F1794C" w:rsidRPr="00D67291" w:rsidRDefault="00F1794C" w:rsidP="00E86120">
      <w:pPr>
        <w:spacing w:after="0" w:line="300" w:lineRule="atLeast"/>
        <w:rPr>
          <w:lang w:val="de-DE"/>
        </w:rPr>
      </w:pPr>
    </w:p>
    <w:p w14:paraId="098DA84F" w14:textId="46D0C58E" w:rsidR="00F1794C" w:rsidRPr="000F5201" w:rsidRDefault="0082015F" w:rsidP="00E86120">
      <w:pPr>
        <w:spacing w:after="0" w:line="300" w:lineRule="atLeast"/>
        <w:rPr>
          <w:lang w:val="de-DE"/>
        </w:rPr>
      </w:pPr>
      <w:r>
        <w:rPr>
          <w:b/>
          <w:sz w:val="30"/>
          <w:szCs w:val="30"/>
          <w:lang w:val="de-DE"/>
        </w:rPr>
        <w:t xml:space="preserve">Erfolgreiches Quartal in </w:t>
      </w:r>
      <w:r w:rsidR="00072F6C">
        <w:rPr>
          <w:b/>
          <w:sz w:val="30"/>
          <w:szCs w:val="30"/>
          <w:lang w:val="de-DE"/>
        </w:rPr>
        <w:t xml:space="preserve">zunehmend </w:t>
      </w:r>
      <w:r>
        <w:rPr>
          <w:b/>
          <w:sz w:val="30"/>
          <w:szCs w:val="30"/>
          <w:lang w:val="de-DE"/>
        </w:rPr>
        <w:t>volatilem Umfeld</w:t>
      </w:r>
      <w:r w:rsidR="002235A0">
        <w:rPr>
          <w:b/>
          <w:sz w:val="30"/>
          <w:szCs w:val="30"/>
          <w:lang w:val="de-DE"/>
        </w:rPr>
        <w:t xml:space="preserve"> </w:t>
      </w:r>
    </w:p>
    <w:p w14:paraId="350CFCFD" w14:textId="77777777" w:rsidR="00E20B67" w:rsidRPr="000F5201" w:rsidRDefault="00E20B67" w:rsidP="00E86120">
      <w:pPr>
        <w:spacing w:after="0" w:line="300" w:lineRule="atLeast"/>
        <w:rPr>
          <w:lang w:val="de-DE"/>
        </w:rPr>
      </w:pPr>
    </w:p>
    <w:p w14:paraId="16C4BC4F" w14:textId="4008917D" w:rsidR="00641CD7" w:rsidRDefault="00424CEC" w:rsidP="00641CD7">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rPr>
      </w:pPr>
      <w:r>
        <w:rPr>
          <w:rStyle w:val="normaltextrun"/>
          <w:rFonts w:ascii="Arial" w:hAnsi="Arial" w:cs="Arial"/>
          <w:b/>
          <w:bCs/>
          <w:sz w:val="21"/>
          <w:szCs w:val="21"/>
        </w:rPr>
        <w:t xml:space="preserve">Konzernumsatz </w:t>
      </w:r>
      <w:r w:rsidR="00F222D3">
        <w:rPr>
          <w:rStyle w:val="normaltextrun"/>
          <w:rFonts w:ascii="Arial" w:hAnsi="Arial" w:cs="Arial"/>
          <w:b/>
          <w:bCs/>
          <w:sz w:val="21"/>
          <w:szCs w:val="21"/>
        </w:rPr>
        <w:t>steigt auf 4,7 Mrd. Euro (+41,</w:t>
      </w:r>
      <w:r w:rsidR="00AC4F72">
        <w:rPr>
          <w:rStyle w:val="normaltextrun"/>
          <w:rFonts w:ascii="Arial" w:hAnsi="Arial" w:cs="Arial"/>
          <w:b/>
          <w:bCs/>
          <w:sz w:val="21"/>
          <w:szCs w:val="21"/>
        </w:rPr>
        <w:t>6</w:t>
      </w:r>
      <w:r w:rsidR="00F222D3">
        <w:rPr>
          <w:rStyle w:val="normaltextrun"/>
          <w:rFonts w:ascii="Arial" w:hAnsi="Arial" w:cs="Arial"/>
          <w:b/>
          <w:bCs/>
          <w:sz w:val="21"/>
          <w:szCs w:val="21"/>
        </w:rPr>
        <w:t xml:space="preserve"> %)</w:t>
      </w:r>
    </w:p>
    <w:p w14:paraId="2D95AE32" w14:textId="25705BA4" w:rsidR="002F40E6" w:rsidRDefault="002F40E6" w:rsidP="00641CD7">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rPr>
      </w:pPr>
      <w:r>
        <w:rPr>
          <w:rStyle w:val="normaltextrun"/>
          <w:rFonts w:ascii="Arial" w:hAnsi="Arial" w:cs="Arial"/>
          <w:b/>
          <w:bCs/>
          <w:sz w:val="21"/>
          <w:szCs w:val="21"/>
        </w:rPr>
        <w:t>EBITDA</w:t>
      </w:r>
      <w:r w:rsidR="00556407">
        <w:rPr>
          <w:rStyle w:val="normaltextrun"/>
          <w:rFonts w:ascii="Arial" w:hAnsi="Arial" w:cs="Arial"/>
          <w:b/>
          <w:bCs/>
          <w:sz w:val="21"/>
          <w:szCs w:val="21"/>
        </w:rPr>
        <w:t xml:space="preserve"> liegt bei 8</w:t>
      </w:r>
      <w:r w:rsidR="001B41BC">
        <w:rPr>
          <w:rStyle w:val="normaltextrun"/>
          <w:rFonts w:ascii="Arial" w:hAnsi="Arial" w:cs="Arial"/>
          <w:b/>
          <w:bCs/>
          <w:sz w:val="21"/>
          <w:szCs w:val="21"/>
        </w:rPr>
        <w:t>06 Mio. Euro (+8,5 %)</w:t>
      </w:r>
    </w:p>
    <w:p w14:paraId="5B4CC538" w14:textId="7D8E8066" w:rsidR="002F40E6" w:rsidRDefault="002F40E6" w:rsidP="00641CD7">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rPr>
      </w:pPr>
      <w:r>
        <w:rPr>
          <w:rStyle w:val="normaltextrun"/>
          <w:rFonts w:ascii="Arial" w:hAnsi="Arial" w:cs="Arial"/>
          <w:b/>
          <w:bCs/>
          <w:sz w:val="21"/>
          <w:szCs w:val="21"/>
        </w:rPr>
        <w:t>Konzernergebnis</w:t>
      </w:r>
      <w:r w:rsidR="00AE767A">
        <w:rPr>
          <w:rStyle w:val="normaltextrun"/>
          <w:rFonts w:ascii="Arial" w:hAnsi="Arial" w:cs="Arial"/>
          <w:b/>
          <w:bCs/>
          <w:sz w:val="21"/>
          <w:szCs w:val="21"/>
        </w:rPr>
        <w:t xml:space="preserve"> </w:t>
      </w:r>
      <w:r w:rsidR="00F92980">
        <w:rPr>
          <w:rStyle w:val="normaltextrun"/>
          <w:rFonts w:ascii="Arial" w:hAnsi="Arial" w:cs="Arial"/>
          <w:b/>
          <w:bCs/>
          <w:sz w:val="21"/>
          <w:szCs w:val="21"/>
        </w:rPr>
        <w:t>in Höhe von</w:t>
      </w:r>
      <w:r w:rsidR="00DD7587">
        <w:rPr>
          <w:rStyle w:val="normaltextrun"/>
          <w:rFonts w:ascii="Arial" w:hAnsi="Arial" w:cs="Arial"/>
          <w:b/>
          <w:bCs/>
          <w:sz w:val="21"/>
          <w:szCs w:val="21"/>
        </w:rPr>
        <w:t xml:space="preserve"> 416 Mio. Euro (+5,9 %)</w:t>
      </w:r>
    </w:p>
    <w:p w14:paraId="665BAD8C" w14:textId="4D969685" w:rsidR="002F40E6" w:rsidRDefault="002F40E6" w:rsidP="00641CD7">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lang w:val="en-US"/>
        </w:rPr>
      </w:pPr>
      <w:r w:rsidRPr="0066619D">
        <w:rPr>
          <w:rStyle w:val="normaltextrun"/>
          <w:rFonts w:ascii="Arial" w:hAnsi="Arial" w:cs="Arial"/>
          <w:b/>
          <w:bCs/>
          <w:sz w:val="21"/>
          <w:szCs w:val="21"/>
          <w:lang w:val="en-US"/>
        </w:rPr>
        <w:t>F</w:t>
      </w:r>
      <w:r w:rsidR="0066619D" w:rsidRPr="0066619D">
        <w:rPr>
          <w:rStyle w:val="normaltextrun"/>
          <w:rFonts w:ascii="Arial" w:hAnsi="Arial" w:cs="Arial"/>
          <w:b/>
          <w:bCs/>
          <w:sz w:val="21"/>
          <w:szCs w:val="21"/>
          <w:lang w:val="en-US"/>
        </w:rPr>
        <w:t>ree Operating Cash Flow</w:t>
      </w:r>
      <w:r w:rsidR="00F92980">
        <w:rPr>
          <w:rStyle w:val="normaltextrun"/>
          <w:rFonts w:ascii="Arial" w:hAnsi="Arial" w:cs="Arial"/>
          <w:b/>
          <w:bCs/>
          <w:sz w:val="21"/>
          <w:szCs w:val="21"/>
          <w:lang w:val="en-US"/>
        </w:rPr>
        <w:t xml:space="preserve"> liegt bei </w:t>
      </w:r>
      <w:r w:rsidR="00DD7587" w:rsidRPr="0066619D">
        <w:rPr>
          <w:rStyle w:val="normaltextrun"/>
          <w:rFonts w:ascii="Arial" w:hAnsi="Arial" w:cs="Arial"/>
          <w:b/>
          <w:bCs/>
          <w:sz w:val="21"/>
          <w:szCs w:val="21"/>
          <w:lang w:val="en-US"/>
        </w:rPr>
        <w:t>17 Mio. Euro (–94,7 %)</w:t>
      </w:r>
    </w:p>
    <w:p w14:paraId="322E1ED3" w14:textId="03206BBE" w:rsidR="008D0A03" w:rsidRPr="008D0A03" w:rsidRDefault="008D0A03" w:rsidP="00641CD7">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rPr>
      </w:pPr>
      <w:r>
        <w:rPr>
          <w:rStyle w:val="normaltextrun"/>
          <w:rFonts w:ascii="Arial" w:hAnsi="Arial" w:cs="Arial"/>
          <w:b/>
          <w:bCs/>
          <w:sz w:val="21"/>
          <w:szCs w:val="21"/>
        </w:rPr>
        <w:t xml:space="preserve">Weitere </w:t>
      </w:r>
      <w:r w:rsidRPr="008D0A03">
        <w:rPr>
          <w:rStyle w:val="normaltextrun"/>
          <w:rFonts w:ascii="Arial" w:hAnsi="Arial" w:cs="Arial"/>
          <w:b/>
          <w:bCs/>
          <w:sz w:val="21"/>
          <w:szCs w:val="21"/>
        </w:rPr>
        <w:t>Schritte auf Weg z</w:t>
      </w:r>
      <w:r>
        <w:rPr>
          <w:rStyle w:val="normaltextrun"/>
          <w:rFonts w:ascii="Arial" w:hAnsi="Arial" w:cs="Arial"/>
          <w:b/>
          <w:bCs/>
          <w:sz w:val="21"/>
          <w:szCs w:val="21"/>
        </w:rPr>
        <w:t xml:space="preserve">u </w:t>
      </w:r>
      <w:r w:rsidR="00443682">
        <w:rPr>
          <w:rStyle w:val="normaltextrun"/>
          <w:rFonts w:ascii="Arial" w:hAnsi="Arial" w:cs="Arial"/>
          <w:b/>
          <w:bCs/>
          <w:sz w:val="21"/>
          <w:szCs w:val="21"/>
        </w:rPr>
        <w:t>Kreislaufwirtschaft und</w:t>
      </w:r>
      <w:r w:rsidR="00443682">
        <w:rPr>
          <w:rStyle w:val="normaltextrun"/>
          <w:rFonts w:ascii="Arial" w:hAnsi="Arial" w:cs="Arial"/>
          <w:b/>
          <w:bCs/>
          <w:sz w:val="21"/>
          <w:szCs w:val="21"/>
        </w:rPr>
        <w:br/>
        <w:t xml:space="preserve">      Klimaneutralität</w:t>
      </w:r>
    </w:p>
    <w:p w14:paraId="70B99E5B" w14:textId="1E1E8401" w:rsidR="002F40E6" w:rsidRPr="00CE7569" w:rsidRDefault="000633B4" w:rsidP="00641CD7">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rPr>
      </w:pPr>
      <w:r w:rsidRPr="00CE7569">
        <w:rPr>
          <w:rStyle w:val="normaltextrun"/>
          <w:rFonts w:ascii="Arial" w:hAnsi="Arial" w:cs="Arial"/>
          <w:b/>
          <w:bCs/>
          <w:sz w:val="21"/>
          <w:szCs w:val="21"/>
        </w:rPr>
        <w:t>Ergebnisausblick für 2022 gesenkt</w:t>
      </w:r>
    </w:p>
    <w:p w14:paraId="480EB843" w14:textId="77777777" w:rsidR="007626EE" w:rsidRDefault="007626EE" w:rsidP="00E86120">
      <w:pPr>
        <w:spacing w:after="0" w:line="300" w:lineRule="atLeast"/>
        <w:rPr>
          <w:lang w:val="de-DE"/>
        </w:rPr>
      </w:pPr>
    </w:p>
    <w:p w14:paraId="7D4D2336" w14:textId="46D32284" w:rsidR="00032F6C" w:rsidRDefault="00B6096A" w:rsidP="00E86120">
      <w:pPr>
        <w:spacing w:after="0" w:line="300" w:lineRule="atLeast"/>
        <w:rPr>
          <w:lang w:val="de-DE"/>
        </w:rPr>
      </w:pPr>
      <w:r>
        <w:rPr>
          <w:lang w:val="de-DE"/>
        </w:rPr>
        <w:t xml:space="preserve">Covestro </w:t>
      </w:r>
      <w:r w:rsidR="00586525">
        <w:rPr>
          <w:lang w:val="de-DE"/>
        </w:rPr>
        <w:t xml:space="preserve">ist </w:t>
      </w:r>
      <w:r w:rsidR="00995020">
        <w:rPr>
          <w:lang w:val="de-DE"/>
        </w:rPr>
        <w:t>erfolgreich</w:t>
      </w:r>
      <w:r w:rsidR="00092E17">
        <w:rPr>
          <w:lang w:val="de-DE"/>
        </w:rPr>
        <w:t xml:space="preserve"> </w:t>
      </w:r>
      <w:r w:rsidR="00586525">
        <w:rPr>
          <w:lang w:val="de-DE"/>
        </w:rPr>
        <w:t>in das Geschäftsjahr 2022 gestartet</w:t>
      </w:r>
      <w:r w:rsidR="00FC185D">
        <w:rPr>
          <w:lang w:val="de-DE"/>
        </w:rPr>
        <w:t xml:space="preserve"> und </w:t>
      </w:r>
      <w:r w:rsidR="00491060">
        <w:rPr>
          <w:lang w:val="de-DE"/>
        </w:rPr>
        <w:t>profitiert</w:t>
      </w:r>
      <w:r w:rsidR="00C40135">
        <w:rPr>
          <w:lang w:val="de-DE"/>
        </w:rPr>
        <w:t xml:space="preserve"> weiterhin</w:t>
      </w:r>
      <w:r w:rsidR="00491060">
        <w:rPr>
          <w:lang w:val="de-DE"/>
        </w:rPr>
        <w:t xml:space="preserve"> von der hohen</w:t>
      </w:r>
      <w:r w:rsidR="002A3E5E">
        <w:rPr>
          <w:lang w:val="de-DE"/>
        </w:rPr>
        <w:t xml:space="preserve"> Nachfrage</w:t>
      </w:r>
      <w:r w:rsidR="00424C50">
        <w:rPr>
          <w:lang w:val="de-DE"/>
        </w:rPr>
        <w:t>dynamik</w:t>
      </w:r>
      <w:r w:rsidR="00491060">
        <w:rPr>
          <w:lang w:val="de-DE"/>
        </w:rPr>
        <w:t>,</w:t>
      </w:r>
      <w:r w:rsidR="00C40135">
        <w:rPr>
          <w:lang w:val="de-DE"/>
        </w:rPr>
        <w:t xml:space="preserve"> </w:t>
      </w:r>
      <w:r w:rsidR="00491060">
        <w:rPr>
          <w:lang w:val="de-DE"/>
        </w:rPr>
        <w:t xml:space="preserve">die </w:t>
      </w:r>
      <w:r w:rsidR="004B058D">
        <w:rPr>
          <w:lang w:val="de-DE"/>
        </w:rPr>
        <w:t>sich</w:t>
      </w:r>
      <w:r w:rsidR="00C40135">
        <w:rPr>
          <w:lang w:val="de-DE"/>
        </w:rPr>
        <w:t xml:space="preserve"> </w:t>
      </w:r>
      <w:r w:rsidR="002A3E5E">
        <w:rPr>
          <w:lang w:val="de-DE"/>
        </w:rPr>
        <w:t>in den ersten drei Monaten d</w:t>
      </w:r>
      <w:r w:rsidR="00C40135">
        <w:rPr>
          <w:lang w:val="de-DE"/>
        </w:rPr>
        <w:t>ies</w:t>
      </w:r>
      <w:r w:rsidR="002A3E5E">
        <w:rPr>
          <w:lang w:val="de-DE"/>
        </w:rPr>
        <w:t xml:space="preserve">es Jahres </w:t>
      </w:r>
      <w:r w:rsidR="004B058D">
        <w:rPr>
          <w:lang w:val="de-DE"/>
        </w:rPr>
        <w:t>fortgesetzt</w:t>
      </w:r>
      <w:r w:rsidR="00491060">
        <w:rPr>
          <w:lang w:val="de-DE"/>
        </w:rPr>
        <w:t xml:space="preserve"> hat</w:t>
      </w:r>
      <w:r w:rsidR="00FC185D">
        <w:rPr>
          <w:lang w:val="de-DE"/>
        </w:rPr>
        <w:t xml:space="preserve">. </w:t>
      </w:r>
      <w:r w:rsidR="00092E17">
        <w:rPr>
          <w:lang w:val="de-DE"/>
        </w:rPr>
        <w:t xml:space="preserve">Der Umsatz des Konzerns </w:t>
      </w:r>
      <w:r w:rsidR="00403DB2">
        <w:rPr>
          <w:lang w:val="de-DE"/>
        </w:rPr>
        <w:t>erhöhte sich</w:t>
      </w:r>
      <w:r w:rsidR="00092E17">
        <w:rPr>
          <w:lang w:val="de-DE"/>
        </w:rPr>
        <w:t xml:space="preserve"> </w:t>
      </w:r>
      <w:r w:rsidR="00AE63ED">
        <w:rPr>
          <w:lang w:val="de-DE"/>
        </w:rPr>
        <w:t xml:space="preserve">insbesondere durch gestiegene durchschnittliche Verkaufspreise </w:t>
      </w:r>
      <w:r w:rsidR="0001764D">
        <w:rPr>
          <w:lang w:val="de-DE"/>
        </w:rPr>
        <w:t>um 41,</w:t>
      </w:r>
      <w:r w:rsidR="00245B4A">
        <w:rPr>
          <w:lang w:val="de-DE"/>
        </w:rPr>
        <w:t>6</w:t>
      </w:r>
      <w:r w:rsidR="001E76CF">
        <w:rPr>
          <w:lang w:val="de-DE"/>
        </w:rPr>
        <w:t> </w:t>
      </w:r>
      <w:r w:rsidR="0001764D">
        <w:rPr>
          <w:lang w:val="de-DE"/>
        </w:rPr>
        <w:t xml:space="preserve">Prozent im </w:t>
      </w:r>
      <w:r w:rsidR="00F2028E">
        <w:rPr>
          <w:lang w:val="de-DE"/>
        </w:rPr>
        <w:t xml:space="preserve">Vergleich zum Vorjahresquartal </w:t>
      </w:r>
      <w:r w:rsidR="0001764D">
        <w:rPr>
          <w:lang w:val="de-DE"/>
        </w:rPr>
        <w:t>auf 4,7</w:t>
      </w:r>
      <w:r w:rsidR="00D026DE">
        <w:rPr>
          <w:lang w:val="de-DE"/>
        </w:rPr>
        <w:t> </w:t>
      </w:r>
      <w:r w:rsidR="0001764D">
        <w:rPr>
          <w:lang w:val="de-DE"/>
        </w:rPr>
        <w:t>Mrd.</w:t>
      </w:r>
      <w:r w:rsidR="00D026DE">
        <w:rPr>
          <w:lang w:val="de-DE"/>
        </w:rPr>
        <w:t> </w:t>
      </w:r>
      <w:r w:rsidR="0001764D">
        <w:rPr>
          <w:lang w:val="de-DE"/>
        </w:rPr>
        <w:t>Euro</w:t>
      </w:r>
      <w:r w:rsidR="00B31944">
        <w:rPr>
          <w:lang w:val="de-DE"/>
        </w:rPr>
        <w:t xml:space="preserve"> (Vorjahr: </w:t>
      </w:r>
      <w:r w:rsidR="00DA681E">
        <w:rPr>
          <w:lang w:val="de-DE"/>
        </w:rPr>
        <w:t>3,3</w:t>
      </w:r>
      <w:r w:rsidR="001E76CF">
        <w:rPr>
          <w:lang w:val="de-DE"/>
        </w:rPr>
        <w:t> </w:t>
      </w:r>
      <w:r w:rsidR="00DA681E">
        <w:rPr>
          <w:lang w:val="de-DE"/>
        </w:rPr>
        <w:t>Mrd. Euro)</w:t>
      </w:r>
      <w:r w:rsidR="00AE63ED">
        <w:rPr>
          <w:lang w:val="de-DE"/>
        </w:rPr>
        <w:t xml:space="preserve">. </w:t>
      </w:r>
      <w:r w:rsidR="000F2DB5">
        <w:rPr>
          <w:lang w:val="de-DE"/>
        </w:rPr>
        <w:t>Das EBITDA wuchs im ersten Quartal um 8,5</w:t>
      </w:r>
      <w:r w:rsidR="00D026DE">
        <w:rPr>
          <w:lang w:val="de-DE"/>
        </w:rPr>
        <w:t> </w:t>
      </w:r>
      <w:r w:rsidR="000F2DB5">
        <w:rPr>
          <w:lang w:val="de-DE"/>
        </w:rPr>
        <w:t>Prozent auf 806 Mio. Euro (Vorjahr: 743 Mio. Euro)</w:t>
      </w:r>
      <w:r w:rsidR="00E94D6B">
        <w:rPr>
          <w:lang w:val="de-DE"/>
        </w:rPr>
        <w:t>. Gr</w:t>
      </w:r>
      <w:r w:rsidR="00DD6A1C">
        <w:rPr>
          <w:lang w:val="de-DE"/>
        </w:rPr>
        <w:t>ü</w:t>
      </w:r>
      <w:r w:rsidR="00E94D6B">
        <w:rPr>
          <w:lang w:val="de-DE"/>
        </w:rPr>
        <w:t>nd</w:t>
      </w:r>
      <w:r w:rsidR="00DD6A1C">
        <w:rPr>
          <w:lang w:val="de-DE"/>
        </w:rPr>
        <w:t>e</w:t>
      </w:r>
      <w:r w:rsidR="00E94D6B">
        <w:rPr>
          <w:lang w:val="de-DE"/>
        </w:rPr>
        <w:t xml:space="preserve"> hierfür waren </w:t>
      </w:r>
      <w:r w:rsidR="002A4439">
        <w:rPr>
          <w:lang w:val="de-DE"/>
        </w:rPr>
        <w:t xml:space="preserve">unter anderem </w:t>
      </w:r>
      <w:r w:rsidR="009D6BEA">
        <w:rPr>
          <w:lang w:val="de-DE"/>
        </w:rPr>
        <w:t xml:space="preserve">positive Währungseffekte sowie </w:t>
      </w:r>
      <w:r w:rsidR="00E33B2F">
        <w:rPr>
          <w:lang w:val="de-DE"/>
        </w:rPr>
        <w:t>gestiegene Gesamtabsatzmengen</w:t>
      </w:r>
      <w:r w:rsidR="002A4439">
        <w:rPr>
          <w:lang w:val="de-DE"/>
        </w:rPr>
        <w:t>.</w:t>
      </w:r>
      <w:r w:rsidR="004237DA">
        <w:rPr>
          <w:lang w:val="de-DE"/>
        </w:rPr>
        <w:t xml:space="preserve"> </w:t>
      </w:r>
      <w:r w:rsidR="00503979">
        <w:rPr>
          <w:lang w:val="de-DE"/>
        </w:rPr>
        <w:t>Deutlich</w:t>
      </w:r>
      <w:r w:rsidR="004237DA">
        <w:rPr>
          <w:lang w:val="de-DE"/>
        </w:rPr>
        <w:t xml:space="preserve"> gestiegene </w:t>
      </w:r>
      <w:r w:rsidR="00503979">
        <w:rPr>
          <w:lang w:val="de-DE"/>
        </w:rPr>
        <w:t>Rohstoff- und Energiepreise</w:t>
      </w:r>
      <w:r w:rsidR="004237DA">
        <w:rPr>
          <w:lang w:val="de-DE"/>
        </w:rPr>
        <w:t xml:space="preserve"> </w:t>
      </w:r>
      <w:r w:rsidR="00942B3B">
        <w:rPr>
          <w:lang w:val="de-DE"/>
        </w:rPr>
        <w:t>konnten</w:t>
      </w:r>
      <w:r w:rsidR="002F4F4F">
        <w:rPr>
          <w:lang w:val="de-DE"/>
        </w:rPr>
        <w:t xml:space="preserve"> weitgehend durch ein höheres Verkaufspreisniveau </w:t>
      </w:r>
      <w:r w:rsidR="00942B3B">
        <w:rPr>
          <w:lang w:val="de-DE"/>
        </w:rPr>
        <w:t>kompensiert werden.</w:t>
      </w:r>
      <w:r w:rsidR="002A4439">
        <w:rPr>
          <w:lang w:val="de-DE"/>
        </w:rPr>
        <w:t xml:space="preserve"> </w:t>
      </w:r>
      <w:r w:rsidR="00260F70">
        <w:rPr>
          <w:lang w:val="de-DE"/>
        </w:rPr>
        <w:t>D</w:t>
      </w:r>
      <w:r w:rsidR="0066619D" w:rsidRPr="0066619D">
        <w:rPr>
          <w:lang w:val="de-DE"/>
        </w:rPr>
        <w:t>er Free Operating Cash Flow</w:t>
      </w:r>
      <w:r w:rsidR="00DD6A1C">
        <w:rPr>
          <w:lang w:val="de-DE"/>
        </w:rPr>
        <w:t xml:space="preserve"> (FOCF)</w:t>
      </w:r>
      <w:r w:rsidR="0066619D" w:rsidRPr="0066619D">
        <w:rPr>
          <w:lang w:val="de-DE"/>
        </w:rPr>
        <w:t xml:space="preserve"> sank um 94,7</w:t>
      </w:r>
      <w:r w:rsidR="0025342C">
        <w:rPr>
          <w:lang w:val="de-DE"/>
        </w:rPr>
        <w:t> </w:t>
      </w:r>
      <w:r w:rsidR="0066619D" w:rsidRPr="0066619D">
        <w:rPr>
          <w:lang w:val="de-DE"/>
        </w:rPr>
        <w:t>Proze</w:t>
      </w:r>
      <w:r w:rsidR="0066619D">
        <w:rPr>
          <w:lang w:val="de-DE"/>
        </w:rPr>
        <w:t>nt auf 17 Mio. Euro</w:t>
      </w:r>
      <w:r w:rsidR="00260F70">
        <w:rPr>
          <w:lang w:val="de-DE"/>
        </w:rPr>
        <w:t xml:space="preserve"> </w:t>
      </w:r>
      <w:r w:rsidR="0066619D">
        <w:rPr>
          <w:lang w:val="de-DE"/>
        </w:rPr>
        <w:t xml:space="preserve">durch geringere </w:t>
      </w:r>
      <w:r w:rsidR="00DD6A1C">
        <w:rPr>
          <w:lang w:val="de-DE"/>
        </w:rPr>
        <w:t xml:space="preserve">Zuflüsse </w:t>
      </w:r>
      <w:r w:rsidR="0066619D">
        <w:rPr>
          <w:lang w:val="de-DE"/>
        </w:rPr>
        <w:t>aus operativer Tätigkeit</w:t>
      </w:r>
      <w:r w:rsidR="00DC1F44">
        <w:rPr>
          <w:lang w:val="de-DE"/>
        </w:rPr>
        <w:t>, die</w:t>
      </w:r>
      <w:r w:rsidR="003F3281">
        <w:rPr>
          <w:lang w:val="de-DE"/>
        </w:rPr>
        <w:t xml:space="preserve"> auf eine</w:t>
      </w:r>
      <w:r w:rsidR="00174B1B">
        <w:rPr>
          <w:lang w:val="de-DE"/>
        </w:rPr>
        <w:t xml:space="preserve"> preisbedingt</w:t>
      </w:r>
      <w:r w:rsidR="00C2676C">
        <w:rPr>
          <w:lang w:val="de-DE"/>
        </w:rPr>
        <w:t xml:space="preserve"> </w:t>
      </w:r>
      <w:r w:rsidR="003F3281">
        <w:rPr>
          <w:lang w:val="de-DE"/>
        </w:rPr>
        <w:t>höhere Mittelbindung im Working Capital zurückzuführen sind</w:t>
      </w:r>
      <w:r w:rsidR="001156A7">
        <w:rPr>
          <w:lang w:val="de-DE"/>
        </w:rPr>
        <w:t xml:space="preserve"> (Vorjahr: 318 Mio. Euro)</w:t>
      </w:r>
      <w:r w:rsidR="003F3281">
        <w:rPr>
          <w:lang w:val="de-DE"/>
        </w:rPr>
        <w:t>.</w:t>
      </w:r>
      <w:r w:rsidR="003307F9" w:rsidRPr="003307F9">
        <w:rPr>
          <w:lang w:val="de-DE"/>
        </w:rPr>
        <w:t xml:space="preserve"> </w:t>
      </w:r>
      <w:r w:rsidR="003307F9">
        <w:rPr>
          <w:lang w:val="de-DE"/>
        </w:rPr>
        <w:t>Das Konzernergebnis im ersten Quartal 2022 erhöhte sich um 5,9 Prozent auf 416</w:t>
      </w:r>
      <w:r w:rsidR="0010575E">
        <w:rPr>
          <w:lang w:val="de-DE"/>
        </w:rPr>
        <w:t> </w:t>
      </w:r>
      <w:r w:rsidR="003307F9">
        <w:rPr>
          <w:lang w:val="de-DE"/>
        </w:rPr>
        <w:t>Mio. Euro (Vorjahr: 393 Mio. Euro).</w:t>
      </w:r>
      <w:r w:rsidR="008E6487">
        <w:rPr>
          <w:lang w:val="de-DE"/>
        </w:rPr>
        <w:t xml:space="preserve"> </w:t>
      </w:r>
    </w:p>
    <w:p w14:paraId="0EC0D799" w14:textId="77777777" w:rsidR="00123D75" w:rsidRPr="0066619D" w:rsidRDefault="00123D75" w:rsidP="00E86120">
      <w:pPr>
        <w:spacing w:after="0" w:line="300" w:lineRule="atLeast"/>
        <w:rPr>
          <w:lang w:val="de-DE"/>
        </w:rPr>
      </w:pPr>
    </w:p>
    <w:p w14:paraId="1CB30378" w14:textId="2AB1B72E" w:rsidR="0003216A" w:rsidRDefault="009B60F6" w:rsidP="00E86120">
      <w:pPr>
        <w:spacing w:after="0" w:line="300" w:lineRule="atLeast"/>
        <w:rPr>
          <w:lang w:val="de-DE"/>
        </w:rPr>
      </w:pPr>
      <w:r>
        <w:rPr>
          <w:lang w:val="de-DE"/>
        </w:rPr>
        <w:t>„</w:t>
      </w:r>
      <w:r w:rsidR="00EA2152">
        <w:rPr>
          <w:lang w:val="de-DE"/>
        </w:rPr>
        <w:t xml:space="preserve">Wir sind erfolgreich in das neue Geschäftsjahr gestartet. </w:t>
      </w:r>
      <w:r w:rsidR="00DD6A1C">
        <w:rPr>
          <w:lang w:val="de-DE"/>
        </w:rPr>
        <w:t>Insbesondere v</w:t>
      </w:r>
      <w:r w:rsidR="00DF3EC3">
        <w:rPr>
          <w:lang w:val="de-DE"/>
        </w:rPr>
        <w:t xml:space="preserve">or dem Hintergrund </w:t>
      </w:r>
      <w:r w:rsidR="00390E65">
        <w:rPr>
          <w:lang w:val="de-DE"/>
        </w:rPr>
        <w:t>des Krieges in der Ukraine</w:t>
      </w:r>
      <w:r w:rsidR="000A58DB">
        <w:rPr>
          <w:lang w:val="de-DE"/>
        </w:rPr>
        <w:t xml:space="preserve"> </w:t>
      </w:r>
      <w:r w:rsidR="006F63BE">
        <w:rPr>
          <w:lang w:val="de-DE"/>
        </w:rPr>
        <w:t>s</w:t>
      </w:r>
      <w:r w:rsidR="00390E65">
        <w:rPr>
          <w:lang w:val="de-DE"/>
        </w:rPr>
        <w:t>ehen wir aber auch, dass</w:t>
      </w:r>
      <w:r w:rsidR="00B74C77">
        <w:rPr>
          <w:lang w:val="de-DE"/>
        </w:rPr>
        <w:t xml:space="preserve"> die politischen und wirtschaftlichen Unsicherheiten zunehmen“, sagte Dr. Markus </w:t>
      </w:r>
      <w:r w:rsidR="00B74C77">
        <w:rPr>
          <w:lang w:val="de-DE"/>
        </w:rPr>
        <w:lastRenderedPageBreak/>
        <w:t xml:space="preserve">Steilemann, Vorstandsvorsitzender von Covestro. </w:t>
      </w:r>
      <w:r w:rsidR="006C510D">
        <w:rPr>
          <w:lang w:val="de-DE"/>
        </w:rPr>
        <w:t>„Die</w:t>
      </w:r>
      <w:r w:rsidR="005E7104">
        <w:rPr>
          <w:lang w:val="de-DE"/>
        </w:rPr>
        <w:t xml:space="preserve"> aktuelle Situation </w:t>
      </w:r>
      <w:r w:rsidR="00E44913">
        <w:rPr>
          <w:lang w:val="de-DE"/>
        </w:rPr>
        <w:t>macht mehr denn je deutlich</w:t>
      </w:r>
      <w:r w:rsidR="0013034B">
        <w:rPr>
          <w:lang w:val="de-DE"/>
        </w:rPr>
        <w:t>, dass w</w:t>
      </w:r>
      <w:r w:rsidR="0013034B" w:rsidRPr="0013034B">
        <w:rPr>
          <w:lang w:val="de-DE"/>
        </w:rPr>
        <w:t xml:space="preserve">ir </w:t>
      </w:r>
      <w:r w:rsidR="0013034B">
        <w:rPr>
          <w:lang w:val="de-DE"/>
        </w:rPr>
        <w:t xml:space="preserve">die </w:t>
      </w:r>
      <w:r w:rsidR="0013034B" w:rsidRPr="0013034B">
        <w:rPr>
          <w:lang w:val="de-DE"/>
        </w:rPr>
        <w:t>Abhängigkeit von fossilen Rohstoffen</w:t>
      </w:r>
      <w:r w:rsidR="0013034B">
        <w:rPr>
          <w:lang w:val="de-DE"/>
        </w:rPr>
        <w:t xml:space="preserve"> </w:t>
      </w:r>
      <w:r w:rsidR="00E44913">
        <w:rPr>
          <w:lang w:val="de-DE"/>
        </w:rPr>
        <w:t xml:space="preserve">langfristig </w:t>
      </w:r>
      <w:r w:rsidR="0013034B">
        <w:rPr>
          <w:lang w:val="de-DE"/>
        </w:rPr>
        <w:t>verringern müssen</w:t>
      </w:r>
      <w:r w:rsidR="007F1A74">
        <w:rPr>
          <w:lang w:val="de-DE"/>
        </w:rPr>
        <w:t>. Da</w:t>
      </w:r>
      <w:r w:rsidR="00E44913">
        <w:rPr>
          <w:lang w:val="de-DE"/>
        </w:rPr>
        <w:t xml:space="preserve">bei ist Covestro Teil </w:t>
      </w:r>
      <w:r w:rsidR="003837DC">
        <w:rPr>
          <w:lang w:val="de-DE"/>
        </w:rPr>
        <w:t>der Lösung</w:t>
      </w:r>
      <w:r w:rsidR="00E44913">
        <w:rPr>
          <w:lang w:val="de-DE"/>
        </w:rPr>
        <w:t>, denn o</w:t>
      </w:r>
      <w:r w:rsidR="004F370E">
        <w:rPr>
          <w:lang w:val="de-DE"/>
        </w:rPr>
        <w:t xml:space="preserve">hne die chemische Industrie ist der Umbau hin zu einer nachhaltigen Industrielandschaft </w:t>
      </w:r>
      <w:r w:rsidR="004A5FFF">
        <w:rPr>
          <w:lang w:val="de-DE"/>
        </w:rPr>
        <w:t xml:space="preserve">nicht </w:t>
      </w:r>
      <w:r w:rsidR="004F370E">
        <w:rPr>
          <w:lang w:val="de-DE"/>
        </w:rPr>
        <w:t>möglich.</w:t>
      </w:r>
      <w:r w:rsidR="00E44913">
        <w:rPr>
          <w:lang w:val="de-DE"/>
        </w:rPr>
        <w:t>“</w:t>
      </w:r>
      <w:r w:rsidR="00B240F3">
        <w:rPr>
          <w:lang w:val="de-DE"/>
        </w:rPr>
        <w:t xml:space="preserve"> </w:t>
      </w:r>
    </w:p>
    <w:p w14:paraId="65A826E3" w14:textId="77777777" w:rsidR="00A40441" w:rsidRDefault="00A40441" w:rsidP="00E86120">
      <w:pPr>
        <w:spacing w:after="0" w:line="300" w:lineRule="atLeast"/>
        <w:rPr>
          <w:lang w:val="de-DE"/>
        </w:rPr>
      </w:pPr>
    </w:p>
    <w:p w14:paraId="6DB62A17" w14:textId="03B00A11" w:rsidR="006B310E" w:rsidRPr="00440490" w:rsidRDefault="000633B4" w:rsidP="00E86120">
      <w:pPr>
        <w:spacing w:after="0" w:line="300" w:lineRule="atLeast"/>
        <w:rPr>
          <w:b/>
          <w:bCs/>
          <w:lang w:val="de-DE"/>
        </w:rPr>
      </w:pPr>
      <w:r w:rsidRPr="00CE7569">
        <w:rPr>
          <w:b/>
          <w:bCs/>
          <w:lang w:val="de-DE"/>
        </w:rPr>
        <w:t>Ergebnisausblick für 2022 gesenkt</w:t>
      </w:r>
    </w:p>
    <w:p w14:paraId="54F74764" w14:textId="77777777" w:rsidR="006B310E" w:rsidRPr="00FC0DF7" w:rsidRDefault="006B310E" w:rsidP="00E86120">
      <w:pPr>
        <w:spacing w:after="0" w:line="300" w:lineRule="atLeast"/>
        <w:rPr>
          <w:lang w:val="de-DE"/>
        </w:rPr>
      </w:pPr>
    </w:p>
    <w:p w14:paraId="7EF18981" w14:textId="5669AD9A" w:rsidR="00A6229D" w:rsidRDefault="0003216A" w:rsidP="000B608F">
      <w:pPr>
        <w:spacing w:after="0" w:line="300" w:lineRule="atLeast"/>
        <w:rPr>
          <w:lang w:val="de-DE"/>
        </w:rPr>
      </w:pPr>
      <w:r w:rsidRPr="00EE0981">
        <w:rPr>
          <w:lang w:val="de-DE"/>
        </w:rPr>
        <w:t xml:space="preserve">Vor dem Hintergrund </w:t>
      </w:r>
      <w:r w:rsidR="00D01488" w:rsidRPr="00EE0981">
        <w:rPr>
          <w:lang w:val="de-DE"/>
        </w:rPr>
        <w:t>des anhaltenden Corona</w:t>
      </w:r>
      <w:r w:rsidR="00CE7569">
        <w:rPr>
          <w:lang w:val="de-DE"/>
        </w:rPr>
        <w:t>virus</w:t>
      </w:r>
      <w:r w:rsidR="00D01488" w:rsidRPr="00EE0981">
        <w:rPr>
          <w:lang w:val="de-DE"/>
        </w:rPr>
        <w:t xml:space="preserve">-Lockdowns in China, insbesondere um die Region Shanghai, </w:t>
      </w:r>
      <w:r w:rsidR="0039541D" w:rsidRPr="00EE0981">
        <w:rPr>
          <w:lang w:val="de-DE"/>
        </w:rPr>
        <w:t xml:space="preserve">der </w:t>
      </w:r>
      <w:r w:rsidR="00D01488" w:rsidRPr="00EE0981">
        <w:rPr>
          <w:lang w:val="de-DE"/>
        </w:rPr>
        <w:t>weiterhin signifikant steigende</w:t>
      </w:r>
      <w:r w:rsidR="0039541D" w:rsidRPr="00EE0981">
        <w:rPr>
          <w:lang w:val="de-DE"/>
        </w:rPr>
        <w:t>n</w:t>
      </w:r>
      <w:r w:rsidR="00D01488" w:rsidRPr="00EE0981">
        <w:rPr>
          <w:lang w:val="de-DE"/>
        </w:rPr>
        <w:t xml:space="preserve"> Energie- und Rohstoffkosten und eine</w:t>
      </w:r>
      <w:r w:rsidR="00300FF7" w:rsidRPr="00EE0981">
        <w:rPr>
          <w:lang w:val="de-DE"/>
        </w:rPr>
        <w:t>s</w:t>
      </w:r>
      <w:r w:rsidR="00D01488" w:rsidRPr="00EE0981">
        <w:rPr>
          <w:lang w:val="de-DE"/>
        </w:rPr>
        <w:t xml:space="preserve"> schwächer angenommenen Wachstum</w:t>
      </w:r>
      <w:r w:rsidR="00300FF7" w:rsidRPr="00EE0981">
        <w:rPr>
          <w:lang w:val="de-DE"/>
        </w:rPr>
        <w:t>s</w:t>
      </w:r>
      <w:r w:rsidR="00D01488" w:rsidRPr="00EE0981">
        <w:rPr>
          <w:lang w:val="de-DE"/>
        </w:rPr>
        <w:t xml:space="preserve"> der Weltwirtschaft</w:t>
      </w:r>
      <w:r w:rsidR="00300FF7" w:rsidRPr="00EE0981">
        <w:rPr>
          <w:lang w:val="de-DE"/>
        </w:rPr>
        <w:t xml:space="preserve"> </w:t>
      </w:r>
      <w:r w:rsidR="007468E7" w:rsidRPr="00EE0981">
        <w:rPr>
          <w:lang w:val="de-DE"/>
        </w:rPr>
        <w:t xml:space="preserve">hat Covestro </w:t>
      </w:r>
      <w:r w:rsidR="000D77E5" w:rsidRPr="00EE0981">
        <w:rPr>
          <w:lang w:val="de-DE"/>
        </w:rPr>
        <w:t>seine Prognose für das Geschäftsjahr 202</w:t>
      </w:r>
      <w:r w:rsidR="009B649D" w:rsidRPr="00EE0981">
        <w:rPr>
          <w:lang w:val="de-DE"/>
        </w:rPr>
        <w:t>2</w:t>
      </w:r>
      <w:r w:rsidR="001B4948" w:rsidRPr="00EE0981">
        <w:rPr>
          <w:lang w:val="de-DE"/>
        </w:rPr>
        <w:t xml:space="preserve"> am </w:t>
      </w:r>
      <w:r w:rsidR="00C42526" w:rsidRPr="00EE0981">
        <w:rPr>
          <w:lang w:val="de-DE"/>
        </w:rPr>
        <w:t>2.</w:t>
      </w:r>
      <w:r w:rsidR="002D0C55" w:rsidRPr="00EE0981">
        <w:rPr>
          <w:lang w:val="de-DE"/>
        </w:rPr>
        <w:t xml:space="preserve"> </w:t>
      </w:r>
      <w:r w:rsidR="00C42526" w:rsidRPr="00EE0981">
        <w:rPr>
          <w:lang w:val="de-DE"/>
        </w:rPr>
        <w:t xml:space="preserve">Mai </w:t>
      </w:r>
      <w:r w:rsidR="001B4948" w:rsidRPr="00EE0981">
        <w:rPr>
          <w:lang w:val="de-DE"/>
        </w:rPr>
        <w:t>2022</w:t>
      </w:r>
      <w:r w:rsidR="000D77E5" w:rsidRPr="00EE0981">
        <w:rPr>
          <w:lang w:val="de-DE"/>
        </w:rPr>
        <w:t xml:space="preserve"> </w:t>
      </w:r>
      <w:r w:rsidR="0039541D" w:rsidRPr="00EE0981">
        <w:rPr>
          <w:lang w:val="de-DE"/>
        </w:rPr>
        <w:t>gesenkt</w:t>
      </w:r>
      <w:r w:rsidR="001B4948" w:rsidRPr="00EE0981">
        <w:rPr>
          <w:lang w:val="de-DE"/>
        </w:rPr>
        <w:t xml:space="preserve">. Der Konzern rechnet für das Gesamtjahr nun mit einem EBITDA zwischen </w:t>
      </w:r>
      <w:r w:rsidR="001D1CB5" w:rsidRPr="00EE0981">
        <w:rPr>
          <w:lang w:val="de-DE"/>
        </w:rPr>
        <w:t>2,0</w:t>
      </w:r>
      <w:r w:rsidR="000B608F" w:rsidRPr="00EE0981">
        <w:rPr>
          <w:lang w:val="de-DE"/>
        </w:rPr>
        <w:t xml:space="preserve"> Mrd. und </w:t>
      </w:r>
      <w:r w:rsidR="001D1CB5" w:rsidRPr="00EE0981">
        <w:rPr>
          <w:lang w:val="de-DE"/>
        </w:rPr>
        <w:t>2,5</w:t>
      </w:r>
      <w:r w:rsidR="000B608F" w:rsidRPr="00EE0981">
        <w:rPr>
          <w:lang w:val="de-DE"/>
        </w:rPr>
        <w:t xml:space="preserve"> Mrd. Euro </w:t>
      </w:r>
      <w:r w:rsidR="00654947" w:rsidRPr="00EE0981">
        <w:rPr>
          <w:lang w:val="de-DE"/>
        </w:rPr>
        <w:t>(bisher:</w:t>
      </w:r>
      <w:r w:rsidR="00D158E8" w:rsidRPr="00EE0981">
        <w:rPr>
          <w:lang w:val="de-DE"/>
        </w:rPr>
        <w:t xml:space="preserve"> </w:t>
      </w:r>
      <w:r w:rsidR="00654947" w:rsidRPr="00EE0981">
        <w:rPr>
          <w:lang w:val="de-DE"/>
        </w:rPr>
        <w:t xml:space="preserve">2,5 Mrd. </w:t>
      </w:r>
      <w:r w:rsidR="00995E9E" w:rsidRPr="00EE0981">
        <w:rPr>
          <w:lang w:val="de-DE"/>
        </w:rPr>
        <w:t>bis</w:t>
      </w:r>
      <w:r w:rsidR="00654947" w:rsidRPr="00EE0981">
        <w:rPr>
          <w:lang w:val="de-DE"/>
        </w:rPr>
        <w:t xml:space="preserve"> 3,0 Mrd. Euro) </w:t>
      </w:r>
      <w:r w:rsidR="000B608F" w:rsidRPr="00EE0981">
        <w:rPr>
          <w:lang w:val="de-DE"/>
        </w:rPr>
        <w:t xml:space="preserve">sowie einem FOCF zwischen </w:t>
      </w:r>
      <w:r w:rsidR="007107C7" w:rsidRPr="00EE0981">
        <w:rPr>
          <w:lang w:val="de-DE"/>
        </w:rPr>
        <w:t>400 Mio</w:t>
      </w:r>
      <w:r w:rsidR="000B608F" w:rsidRPr="00EE0981">
        <w:rPr>
          <w:lang w:val="de-DE"/>
        </w:rPr>
        <w:t xml:space="preserve">. und </w:t>
      </w:r>
      <w:r w:rsidR="007107C7" w:rsidRPr="00EE0981">
        <w:rPr>
          <w:lang w:val="de-DE"/>
        </w:rPr>
        <w:t>900 Mio</w:t>
      </w:r>
      <w:r w:rsidR="000B608F" w:rsidRPr="00EE0981">
        <w:rPr>
          <w:lang w:val="de-DE"/>
        </w:rPr>
        <w:t>. Euro</w:t>
      </w:r>
      <w:r w:rsidR="00654947" w:rsidRPr="00EE0981">
        <w:rPr>
          <w:lang w:val="de-DE"/>
        </w:rPr>
        <w:t xml:space="preserve"> (bisher: </w:t>
      </w:r>
      <w:r w:rsidR="00D158E8" w:rsidRPr="00EE0981">
        <w:rPr>
          <w:lang w:val="de-DE"/>
        </w:rPr>
        <w:t xml:space="preserve">zwischen </w:t>
      </w:r>
      <w:r w:rsidR="00654947" w:rsidRPr="00EE0981">
        <w:rPr>
          <w:lang w:val="de-DE"/>
        </w:rPr>
        <w:t xml:space="preserve">1,0 Mrd. </w:t>
      </w:r>
      <w:r w:rsidR="00892B6E" w:rsidRPr="00EE0981">
        <w:rPr>
          <w:lang w:val="de-DE"/>
        </w:rPr>
        <w:t>und</w:t>
      </w:r>
      <w:r w:rsidR="00654947" w:rsidRPr="00EE0981">
        <w:rPr>
          <w:lang w:val="de-DE"/>
        </w:rPr>
        <w:t xml:space="preserve"> 1,5 Mrd. Euro)</w:t>
      </w:r>
      <w:r w:rsidR="000B608F" w:rsidRPr="00EE0981">
        <w:rPr>
          <w:lang w:val="de-DE"/>
        </w:rPr>
        <w:t xml:space="preserve">. Für den </w:t>
      </w:r>
      <w:r w:rsidR="001B6571" w:rsidRPr="00EE0981">
        <w:rPr>
          <w:lang w:val="de-DE"/>
        </w:rPr>
        <w:t xml:space="preserve">Return on Capital Employed über dem gewichteten Kapitalkostensatz </w:t>
      </w:r>
      <w:r w:rsidR="00634826" w:rsidRPr="00EE0981">
        <w:rPr>
          <w:lang w:val="de-DE"/>
        </w:rPr>
        <w:t>(</w:t>
      </w:r>
      <w:r w:rsidR="00A407AF" w:rsidRPr="00EE0981">
        <w:rPr>
          <w:lang w:val="de-DE"/>
        </w:rPr>
        <w:t xml:space="preserve">ROCE über WACC) </w:t>
      </w:r>
      <w:r w:rsidR="000B608F" w:rsidRPr="00EE0981">
        <w:rPr>
          <w:lang w:val="de-DE"/>
        </w:rPr>
        <w:t>erwartet der Konzern</w:t>
      </w:r>
      <w:r w:rsidR="007107C7" w:rsidRPr="00EE0981">
        <w:rPr>
          <w:lang w:val="de-DE"/>
        </w:rPr>
        <w:t xml:space="preserve"> </w:t>
      </w:r>
      <w:r w:rsidR="000B608F" w:rsidRPr="00EE0981">
        <w:rPr>
          <w:lang w:val="de-DE"/>
        </w:rPr>
        <w:t xml:space="preserve">einen Wert zwischen </w:t>
      </w:r>
      <w:r w:rsidR="00A407AF" w:rsidRPr="00EE0981">
        <w:rPr>
          <w:lang w:val="de-DE"/>
        </w:rPr>
        <w:t>einem</w:t>
      </w:r>
      <w:r w:rsidR="007107C7" w:rsidRPr="00EE0981">
        <w:rPr>
          <w:lang w:val="de-DE"/>
        </w:rPr>
        <w:t xml:space="preserve"> </w:t>
      </w:r>
      <w:r w:rsidR="00557A27" w:rsidRPr="00EE0981">
        <w:rPr>
          <w:lang w:val="de-DE"/>
        </w:rPr>
        <w:t>Prozent</w:t>
      </w:r>
      <w:r w:rsidR="00EE0981" w:rsidRPr="00EE0981">
        <w:rPr>
          <w:lang w:val="de-DE"/>
        </w:rPr>
        <w:t xml:space="preserve">punkt </w:t>
      </w:r>
      <w:r w:rsidR="000B608F" w:rsidRPr="00EE0981">
        <w:rPr>
          <w:lang w:val="de-DE"/>
        </w:rPr>
        <w:t>und</w:t>
      </w:r>
      <w:r w:rsidR="006D6174" w:rsidRPr="00EE0981">
        <w:rPr>
          <w:lang w:val="de-DE"/>
        </w:rPr>
        <w:t xml:space="preserve"> </w:t>
      </w:r>
      <w:r w:rsidR="00FF55A3" w:rsidRPr="00EE0981">
        <w:rPr>
          <w:lang w:val="de-DE"/>
        </w:rPr>
        <w:t>fünf</w:t>
      </w:r>
      <w:r w:rsidR="00D53F05" w:rsidRPr="00EE0981">
        <w:rPr>
          <w:lang w:val="de-DE"/>
        </w:rPr>
        <w:t xml:space="preserve"> </w:t>
      </w:r>
      <w:r w:rsidR="000B608F" w:rsidRPr="00EE0981">
        <w:rPr>
          <w:lang w:val="de-DE"/>
        </w:rPr>
        <w:t>Prozent</w:t>
      </w:r>
      <w:r w:rsidR="00D53F05" w:rsidRPr="00EE0981">
        <w:rPr>
          <w:lang w:val="de-DE"/>
        </w:rPr>
        <w:t>punkten</w:t>
      </w:r>
      <w:r w:rsidR="00654947" w:rsidRPr="00EE0981">
        <w:rPr>
          <w:lang w:val="de-DE"/>
        </w:rPr>
        <w:t xml:space="preserve"> (bisher: </w:t>
      </w:r>
      <w:r w:rsidR="00D158E8" w:rsidRPr="00EE0981">
        <w:rPr>
          <w:lang w:val="de-DE"/>
        </w:rPr>
        <w:t>zwischen fünf und neun Prozentpunkte</w:t>
      </w:r>
      <w:r w:rsidR="00EE0981" w:rsidRPr="00EE0981">
        <w:rPr>
          <w:lang w:val="de-DE"/>
        </w:rPr>
        <w:t>n</w:t>
      </w:r>
      <w:r w:rsidR="00D158E8" w:rsidRPr="00EE0981">
        <w:rPr>
          <w:lang w:val="de-DE"/>
        </w:rPr>
        <w:t>)</w:t>
      </w:r>
      <w:r w:rsidR="000B608F" w:rsidRPr="00EE0981">
        <w:rPr>
          <w:lang w:val="de-DE"/>
        </w:rPr>
        <w:t>. Für die Treibhausgasemissionen gemessen an CO</w:t>
      </w:r>
      <w:r w:rsidR="000B608F" w:rsidRPr="00EE0981">
        <w:rPr>
          <w:vertAlign w:val="subscript"/>
          <w:lang w:val="de-DE"/>
        </w:rPr>
        <w:t>2</w:t>
      </w:r>
      <w:r w:rsidR="000B608F" w:rsidRPr="00EE0981">
        <w:rPr>
          <w:lang w:val="de-DE"/>
        </w:rPr>
        <w:t>-Äquivalenten erwartet Covest</w:t>
      </w:r>
      <w:r w:rsidR="007242EA" w:rsidRPr="00EE0981">
        <w:rPr>
          <w:lang w:val="de-DE"/>
        </w:rPr>
        <w:t>r</w:t>
      </w:r>
      <w:r w:rsidR="000B608F" w:rsidRPr="00EE0981">
        <w:rPr>
          <w:lang w:val="de-DE"/>
        </w:rPr>
        <w:t xml:space="preserve">o </w:t>
      </w:r>
      <w:r w:rsidR="00634826" w:rsidRPr="00EE0981">
        <w:rPr>
          <w:lang w:val="de-DE"/>
        </w:rPr>
        <w:t xml:space="preserve">nun </w:t>
      </w:r>
      <w:r w:rsidR="000B608F" w:rsidRPr="00EE0981">
        <w:rPr>
          <w:lang w:val="de-DE"/>
        </w:rPr>
        <w:t>einen Anstieg auf 5,</w:t>
      </w:r>
      <w:r w:rsidR="00416326" w:rsidRPr="00EE0981">
        <w:rPr>
          <w:lang w:val="de-DE"/>
        </w:rPr>
        <w:t>5</w:t>
      </w:r>
      <w:r w:rsidR="000B608F" w:rsidRPr="00EE0981">
        <w:rPr>
          <w:lang w:val="de-DE"/>
        </w:rPr>
        <w:t xml:space="preserve"> Mio. bis </w:t>
      </w:r>
      <w:r w:rsidR="00416326" w:rsidRPr="00EE0981">
        <w:rPr>
          <w:lang w:val="de-DE"/>
        </w:rPr>
        <w:t>6</w:t>
      </w:r>
      <w:r w:rsidR="00DF190D" w:rsidRPr="00EE0981">
        <w:rPr>
          <w:lang w:val="de-DE"/>
        </w:rPr>
        <w:t>,</w:t>
      </w:r>
      <w:r w:rsidR="00416326" w:rsidRPr="00EE0981">
        <w:rPr>
          <w:lang w:val="de-DE"/>
        </w:rPr>
        <w:t>0</w:t>
      </w:r>
      <w:r w:rsidR="000B608F" w:rsidRPr="00EE0981">
        <w:rPr>
          <w:lang w:val="de-DE"/>
        </w:rPr>
        <w:t xml:space="preserve"> Mio. Tonnen</w:t>
      </w:r>
      <w:r w:rsidR="00892B6E" w:rsidRPr="00EE0981">
        <w:rPr>
          <w:lang w:val="de-DE"/>
        </w:rPr>
        <w:t xml:space="preserve"> (bisher:</w:t>
      </w:r>
      <w:r w:rsidR="00EE0981" w:rsidRPr="00EE0981">
        <w:rPr>
          <w:lang w:val="de-DE"/>
        </w:rPr>
        <w:t xml:space="preserve"> 5,6 Mio. bis 6,1 Mio. Tonnen)</w:t>
      </w:r>
      <w:r w:rsidR="000B608F" w:rsidRPr="00EE0981">
        <w:rPr>
          <w:lang w:val="de-DE"/>
        </w:rPr>
        <w:t xml:space="preserve">. Für das zweite Quartal rechnet der Konzern mit einem EBITDA zwischen </w:t>
      </w:r>
      <w:r w:rsidR="002F1E9A" w:rsidRPr="00EE0981">
        <w:rPr>
          <w:lang w:val="de-DE"/>
        </w:rPr>
        <w:t>430</w:t>
      </w:r>
      <w:r w:rsidR="000B608F" w:rsidRPr="00EE0981">
        <w:rPr>
          <w:lang w:val="de-DE"/>
        </w:rPr>
        <w:t xml:space="preserve"> Mio. und </w:t>
      </w:r>
      <w:r w:rsidR="002F1E9A" w:rsidRPr="00EE0981">
        <w:rPr>
          <w:lang w:val="de-DE"/>
        </w:rPr>
        <w:t>530</w:t>
      </w:r>
      <w:r w:rsidR="000B608F" w:rsidRPr="00EE0981">
        <w:rPr>
          <w:lang w:val="de-DE"/>
        </w:rPr>
        <w:t xml:space="preserve"> Mio. Euro.</w:t>
      </w:r>
      <w:r w:rsidR="000B608F">
        <w:rPr>
          <w:lang w:val="de-DE"/>
        </w:rPr>
        <w:t xml:space="preserve"> </w:t>
      </w:r>
    </w:p>
    <w:p w14:paraId="336F4CEE" w14:textId="4FE70E9E" w:rsidR="0010345D" w:rsidRDefault="0010345D" w:rsidP="00E86120">
      <w:pPr>
        <w:spacing w:after="0" w:line="300" w:lineRule="atLeast"/>
        <w:rPr>
          <w:lang w:val="de-DE"/>
        </w:rPr>
      </w:pPr>
    </w:p>
    <w:p w14:paraId="562629A9" w14:textId="61DAA690" w:rsidR="00BB50F4" w:rsidRDefault="00CB6F3E" w:rsidP="00E86120">
      <w:pPr>
        <w:spacing w:after="0" w:line="300" w:lineRule="atLeast"/>
        <w:rPr>
          <w:lang w:val="de-DE"/>
        </w:rPr>
      </w:pPr>
      <w:r>
        <w:rPr>
          <w:lang w:val="de-DE"/>
        </w:rPr>
        <w:t>„Wir haben im ersten Quartal von einer weiterhin hohen Nachfrage profitiert</w:t>
      </w:r>
      <w:r w:rsidR="00AE395B">
        <w:rPr>
          <w:lang w:val="de-DE"/>
        </w:rPr>
        <w:t xml:space="preserve">. Seit Beginn des Ukraine-Krieges </w:t>
      </w:r>
      <w:r w:rsidR="00473BC4">
        <w:rPr>
          <w:lang w:val="de-DE"/>
        </w:rPr>
        <w:t>sehen</w:t>
      </w:r>
      <w:r w:rsidR="00AE395B">
        <w:rPr>
          <w:lang w:val="de-DE"/>
        </w:rPr>
        <w:t xml:space="preserve"> wir</w:t>
      </w:r>
      <w:r w:rsidR="00473BC4">
        <w:rPr>
          <w:lang w:val="de-DE"/>
        </w:rPr>
        <w:t xml:space="preserve"> jedoch</w:t>
      </w:r>
      <w:r w:rsidR="008A4957">
        <w:rPr>
          <w:lang w:val="de-DE"/>
        </w:rPr>
        <w:t xml:space="preserve">, dass </w:t>
      </w:r>
      <w:r w:rsidR="00BB50F4">
        <w:rPr>
          <w:lang w:val="de-DE"/>
        </w:rPr>
        <w:t xml:space="preserve">die </w:t>
      </w:r>
      <w:r w:rsidR="00AE395B">
        <w:rPr>
          <w:lang w:val="de-DE"/>
        </w:rPr>
        <w:t xml:space="preserve">Risiken mit Blick auf </w:t>
      </w:r>
      <w:r w:rsidR="00771486">
        <w:rPr>
          <w:lang w:val="de-DE"/>
        </w:rPr>
        <w:t xml:space="preserve">unsere </w:t>
      </w:r>
      <w:r w:rsidR="00AE395B">
        <w:rPr>
          <w:lang w:val="de-DE"/>
        </w:rPr>
        <w:t xml:space="preserve">Energieversorgung </w:t>
      </w:r>
      <w:r w:rsidR="005E3117">
        <w:rPr>
          <w:lang w:val="de-DE"/>
        </w:rPr>
        <w:t>und</w:t>
      </w:r>
      <w:r w:rsidR="00E42C54">
        <w:rPr>
          <w:lang w:val="de-DE"/>
        </w:rPr>
        <w:t xml:space="preserve"> Lieferketten</w:t>
      </w:r>
      <w:r w:rsidR="005E3117">
        <w:rPr>
          <w:lang w:val="de-DE"/>
        </w:rPr>
        <w:t xml:space="preserve"> </w:t>
      </w:r>
      <w:r w:rsidR="00AE395B">
        <w:rPr>
          <w:lang w:val="de-DE"/>
        </w:rPr>
        <w:t>deutlich gewachsen sind</w:t>
      </w:r>
      <w:r w:rsidR="005E3117">
        <w:rPr>
          <w:lang w:val="de-DE"/>
        </w:rPr>
        <w:t>. Hinzu kommen</w:t>
      </w:r>
      <w:r w:rsidR="003E44DF">
        <w:rPr>
          <w:lang w:val="de-DE"/>
        </w:rPr>
        <w:t xml:space="preserve"> eine sich abschwächende Weltwirtschaft sowie</w:t>
      </w:r>
      <w:r w:rsidR="008718DC">
        <w:rPr>
          <w:lang w:val="de-DE"/>
        </w:rPr>
        <w:t xml:space="preserve"> weiterhin bestehende Herausforderungen durch die</w:t>
      </w:r>
      <w:r w:rsidR="00771486">
        <w:rPr>
          <w:lang w:val="de-DE"/>
        </w:rPr>
        <w:t xml:space="preserve"> Auswirkungen und einschränkenden Maßnahmen</w:t>
      </w:r>
      <w:r w:rsidR="008718DC">
        <w:rPr>
          <w:lang w:val="de-DE"/>
        </w:rPr>
        <w:t xml:space="preserve"> </w:t>
      </w:r>
      <w:r w:rsidR="00771486">
        <w:rPr>
          <w:lang w:val="de-DE"/>
        </w:rPr>
        <w:t xml:space="preserve">im Zusammenhang mit der </w:t>
      </w:r>
      <w:r w:rsidR="008718DC">
        <w:rPr>
          <w:lang w:val="de-DE"/>
        </w:rPr>
        <w:t xml:space="preserve">Coronavirus-Pandemie vor allem in China“, erklärte Dr. Thomas Toepfer, Finanzvorstand von Covestro. „Vor diesem Hintergrund haben wir uns dazu entschieden, unsere Prognose für das Gesamtjahr anzupassen. </w:t>
      </w:r>
      <w:r w:rsidR="00E42C54">
        <w:rPr>
          <w:lang w:val="de-DE"/>
        </w:rPr>
        <w:t>Wir beobachten die weiteren Entwicklungen kontinuierlich, um Covestro bestmöglich durch diese Zeit zu steuern.“</w:t>
      </w:r>
    </w:p>
    <w:p w14:paraId="3970ED57" w14:textId="3C4E04FD" w:rsidR="007B16AF" w:rsidRDefault="007B16AF" w:rsidP="00E86120">
      <w:pPr>
        <w:spacing w:after="0" w:line="300" w:lineRule="atLeast"/>
        <w:rPr>
          <w:lang w:val="de-DE"/>
        </w:rPr>
      </w:pPr>
    </w:p>
    <w:p w14:paraId="2A7647D7" w14:textId="7C0D3632" w:rsidR="00D8273D" w:rsidRPr="008A5E72" w:rsidRDefault="00D8273D" w:rsidP="00D8273D">
      <w:pPr>
        <w:spacing w:after="0" w:line="300" w:lineRule="atLeast"/>
        <w:rPr>
          <w:lang w:val="de-DE"/>
        </w:rPr>
      </w:pPr>
      <w:r>
        <w:rPr>
          <w:lang w:val="de-DE"/>
        </w:rPr>
        <w:t xml:space="preserve">Nachdem Covestro im letzten Jahr seine Organisationsstruktur neu aufgestellt und seine bisherigen drei </w:t>
      </w:r>
      <w:r w:rsidR="005E0D5B">
        <w:rPr>
          <w:lang w:val="de-DE"/>
        </w:rPr>
        <w:t>Berichtss</w:t>
      </w:r>
      <w:r>
        <w:rPr>
          <w:lang w:val="de-DE"/>
        </w:rPr>
        <w:t xml:space="preserve">egmente in die </w:t>
      </w:r>
      <w:r w:rsidR="005E0D5B">
        <w:rPr>
          <w:lang w:val="de-DE"/>
        </w:rPr>
        <w:t>Segmente</w:t>
      </w:r>
      <w:r>
        <w:rPr>
          <w:lang w:val="de-DE"/>
        </w:rPr>
        <w:t xml:space="preserve"> Performance Materials und Solutions &amp; Specialties überführt hat, berichtet der Konzern im Geschäftsjahr 2022 erstmalig in seinem neuen Steuerungssystem. Anstelle der bisher verwendeten Kennzahl Mengenwachstum im Kerngeschäft nutzt Covestro seit Beginn des Jahres das EBITDA als Wachstumskennzahl. Zusätzlich hat das Unternehmen erstmalig eine Nachhaltigkeitskomponente, </w:t>
      </w:r>
      <w:r>
        <w:rPr>
          <w:lang w:val="de-DE"/>
        </w:rPr>
        <w:lastRenderedPageBreak/>
        <w:t xml:space="preserve">gemessen an den direkten und indirekten Treibhausgasemissionen (Scope 1 und 2), ergänzt. </w:t>
      </w:r>
    </w:p>
    <w:p w14:paraId="17695AE3" w14:textId="77777777" w:rsidR="00F32627" w:rsidRDefault="00F32627" w:rsidP="00E86120">
      <w:pPr>
        <w:spacing w:after="0" w:line="300" w:lineRule="atLeast"/>
        <w:rPr>
          <w:b/>
          <w:bCs/>
          <w:i/>
          <w:iCs/>
          <w:lang w:val="de-DE"/>
        </w:rPr>
      </w:pPr>
    </w:p>
    <w:p w14:paraId="46985A60" w14:textId="394B615E" w:rsidR="009F2FA1" w:rsidRPr="00C5086B" w:rsidRDefault="00C5086B" w:rsidP="00E86120">
      <w:pPr>
        <w:spacing w:after="0" w:line="300" w:lineRule="atLeast"/>
        <w:rPr>
          <w:b/>
          <w:bCs/>
          <w:lang w:val="de-DE"/>
        </w:rPr>
      </w:pPr>
      <w:r w:rsidRPr="00C5086B">
        <w:rPr>
          <w:b/>
          <w:bCs/>
          <w:lang w:val="de-DE"/>
        </w:rPr>
        <w:t>Fortschritte auf Weg zu K</w:t>
      </w:r>
      <w:r w:rsidR="000B46E9" w:rsidRPr="00C5086B">
        <w:rPr>
          <w:b/>
          <w:bCs/>
          <w:lang w:val="de-DE"/>
        </w:rPr>
        <w:t>reislaufwirtschaft</w:t>
      </w:r>
      <w:r w:rsidR="009157A7" w:rsidRPr="00C5086B">
        <w:rPr>
          <w:b/>
          <w:bCs/>
          <w:lang w:val="de-DE"/>
        </w:rPr>
        <w:t xml:space="preserve"> und</w:t>
      </w:r>
      <w:r w:rsidR="000B46E9" w:rsidRPr="00C5086B">
        <w:rPr>
          <w:b/>
          <w:bCs/>
          <w:lang w:val="de-DE"/>
        </w:rPr>
        <w:t xml:space="preserve"> </w:t>
      </w:r>
      <w:r w:rsidRPr="00C5086B">
        <w:rPr>
          <w:b/>
          <w:bCs/>
          <w:lang w:val="de-DE"/>
        </w:rPr>
        <w:t xml:space="preserve">Klimaneutralität </w:t>
      </w:r>
    </w:p>
    <w:p w14:paraId="1BE316D0" w14:textId="7D0D0898" w:rsidR="00C5086B" w:rsidRDefault="00C5086B" w:rsidP="00E86120">
      <w:pPr>
        <w:spacing w:after="0" w:line="300" w:lineRule="atLeast"/>
        <w:rPr>
          <w:lang w:val="de-DE"/>
        </w:rPr>
      </w:pPr>
    </w:p>
    <w:p w14:paraId="5ABE76F7" w14:textId="77777777" w:rsidR="007A7855" w:rsidRDefault="00397A07" w:rsidP="00E86120">
      <w:pPr>
        <w:spacing w:after="0" w:line="300" w:lineRule="atLeast"/>
        <w:rPr>
          <w:lang w:val="de-DE"/>
        </w:rPr>
      </w:pPr>
      <w:r>
        <w:rPr>
          <w:lang w:val="de-DE"/>
        </w:rPr>
        <w:t>Im März 2022</w:t>
      </w:r>
      <w:r w:rsidR="007A0372">
        <w:rPr>
          <w:lang w:val="de-DE"/>
        </w:rPr>
        <w:t xml:space="preserve"> </w:t>
      </w:r>
      <w:r w:rsidR="00C5086B">
        <w:rPr>
          <w:lang w:val="de-DE"/>
        </w:rPr>
        <w:t>hatte</w:t>
      </w:r>
      <w:r w:rsidR="007C7C31">
        <w:rPr>
          <w:lang w:val="de-DE"/>
        </w:rPr>
        <w:t xml:space="preserve"> </w:t>
      </w:r>
      <w:r w:rsidR="00C5086B">
        <w:rPr>
          <w:lang w:val="de-DE"/>
        </w:rPr>
        <w:t xml:space="preserve">Covestro </w:t>
      </w:r>
      <w:r w:rsidR="007C7C31">
        <w:rPr>
          <w:lang w:val="de-DE"/>
        </w:rPr>
        <w:t xml:space="preserve">ein ambitioniertes Klimaziel </w:t>
      </w:r>
      <w:r w:rsidR="00C5086B">
        <w:rPr>
          <w:lang w:val="de-DE"/>
        </w:rPr>
        <w:t>bekanntgegeben</w:t>
      </w:r>
      <w:r w:rsidR="007C7C31">
        <w:rPr>
          <w:lang w:val="de-DE"/>
        </w:rPr>
        <w:t xml:space="preserve">: Der Konzern will </w:t>
      </w:r>
      <w:r>
        <w:rPr>
          <w:lang w:val="de-DE"/>
        </w:rPr>
        <w:t xml:space="preserve">bis zum Jahr 2035 </w:t>
      </w:r>
      <w:r w:rsidR="004E39EA">
        <w:rPr>
          <w:lang w:val="de-DE"/>
        </w:rPr>
        <w:t xml:space="preserve">klimaneutral werden und </w:t>
      </w:r>
      <w:r w:rsidR="00C5086B">
        <w:rPr>
          <w:lang w:val="de-DE"/>
        </w:rPr>
        <w:t>Netto-Null-Emis</w:t>
      </w:r>
      <w:r w:rsidR="00C5086B" w:rsidRPr="00E47A86">
        <w:rPr>
          <w:lang w:val="de-DE"/>
        </w:rPr>
        <w:t>sion</w:t>
      </w:r>
      <w:r w:rsidR="00662C48" w:rsidRPr="00E47A86">
        <w:rPr>
          <w:vertAlign w:val="superscript"/>
          <w:lang w:val="de-DE"/>
        </w:rPr>
        <w:t>1</w:t>
      </w:r>
      <w:r w:rsidR="00C5086B">
        <w:rPr>
          <w:lang w:val="de-DE"/>
        </w:rPr>
        <w:t xml:space="preserve"> </w:t>
      </w:r>
      <w:r w:rsidR="00631953">
        <w:rPr>
          <w:lang w:val="de-DE"/>
        </w:rPr>
        <w:t>erreichen.</w:t>
      </w:r>
      <w:r w:rsidR="000B7C08">
        <w:rPr>
          <w:lang w:val="de-DE"/>
        </w:rPr>
        <w:t xml:space="preserve"> </w:t>
      </w:r>
      <w:r w:rsidR="00847E8A">
        <w:rPr>
          <w:lang w:val="de-DE"/>
        </w:rPr>
        <w:t>Dafür will d</w:t>
      </w:r>
      <w:r w:rsidR="0096052A">
        <w:rPr>
          <w:lang w:val="de-DE"/>
        </w:rPr>
        <w:t xml:space="preserve">as Unternehmen seine Treibhausgasemissionen aus eigener Produktionstätigkeit (Scope 1) sowie externen Energiequellen (Scope 2) </w:t>
      </w:r>
      <w:r w:rsidR="009907B7">
        <w:rPr>
          <w:lang w:val="de-DE"/>
        </w:rPr>
        <w:t>bis 2030</w:t>
      </w:r>
      <w:r w:rsidR="00847E8A">
        <w:rPr>
          <w:lang w:val="de-DE"/>
        </w:rPr>
        <w:t xml:space="preserve"> </w:t>
      </w:r>
      <w:r w:rsidR="0096052A">
        <w:rPr>
          <w:lang w:val="de-DE"/>
        </w:rPr>
        <w:t xml:space="preserve">um 60 Prozent auf </w:t>
      </w:r>
      <w:r w:rsidR="009907B7">
        <w:rPr>
          <w:lang w:val="de-DE"/>
        </w:rPr>
        <w:t>2,2</w:t>
      </w:r>
      <w:r w:rsidR="003F4F0E">
        <w:rPr>
          <w:lang w:val="de-DE"/>
        </w:rPr>
        <w:t> </w:t>
      </w:r>
      <w:r w:rsidR="009907B7">
        <w:rPr>
          <w:lang w:val="de-DE"/>
        </w:rPr>
        <w:t xml:space="preserve">Mio. Tonnen senken. </w:t>
      </w:r>
      <w:r w:rsidR="007A0186" w:rsidRPr="007A0186">
        <w:rPr>
          <w:lang w:val="de-DE"/>
        </w:rPr>
        <w:t>Zudem sollen die indirekten Treibhausgasemissionen aus vor- und nachgelagerten Prozessen in der Wertschöpfungskette (Scope 3) weiter verringert werden</w:t>
      </w:r>
      <w:r w:rsidR="00EE4762">
        <w:rPr>
          <w:lang w:val="de-DE"/>
        </w:rPr>
        <w:t>, ein entsprechendes</w:t>
      </w:r>
      <w:r w:rsidR="007A0186" w:rsidRPr="007A0186">
        <w:rPr>
          <w:lang w:val="de-DE"/>
        </w:rPr>
        <w:t xml:space="preserve"> Reduktionsziel soll im Jahr 2023</w:t>
      </w:r>
      <w:r w:rsidR="00EE4762">
        <w:rPr>
          <w:lang w:val="de-DE"/>
        </w:rPr>
        <w:t xml:space="preserve"> folgen. </w:t>
      </w:r>
    </w:p>
    <w:p w14:paraId="4E17AF46" w14:textId="77777777" w:rsidR="007A7855" w:rsidRDefault="007A7855" w:rsidP="00E86120">
      <w:pPr>
        <w:spacing w:after="0" w:line="300" w:lineRule="atLeast"/>
        <w:rPr>
          <w:lang w:val="de-DE"/>
        </w:rPr>
      </w:pPr>
    </w:p>
    <w:p w14:paraId="6D140E6D" w14:textId="584D0F65" w:rsidR="00BF36C4" w:rsidRDefault="00EA0E04" w:rsidP="00E86120">
      <w:pPr>
        <w:spacing w:after="0" w:line="300" w:lineRule="atLeast"/>
        <w:rPr>
          <w:lang w:val="de-DE"/>
        </w:rPr>
      </w:pPr>
      <w:r>
        <w:rPr>
          <w:lang w:val="de-DE"/>
        </w:rPr>
        <w:t xml:space="preserve">Langfristig will Covestro </w:t>
      </w:r>
      <w:r w:rsidR="0078754A">
        <w:rPr>
          <w:lang w:val="de-DE"/>
        </w:rPr>
        <w:t>jedes Produkt in einer klimaneutral</w:t>
      </w:r>
      <w:r w:rsidR="008A5E72">
        <w:rPr>
          <w:lang w:val="de-DE"/>
        </w:rPr>
        <w:t>en</w:t>
      </w:r>
      <w:r w:rsidR="0078754A">
        <w:rPr>
          <w:lang w:val="de-DE"/>
        </w:rPr>
        <w:t xml:space="preserve"> Version anbieten</w:t>
      </w:r>
      <w:r w:rsidR="00EC2145">
        <w:rPr>
          <w:lang w:val="de-DE"/>
        </w:rPr>
        <w:t xml:space="preserve"> und baut sein Portfolio kontinuierlich aus. </w:t>
      </w:r>
      <w:r w:rsidR="00A2672D">
        <w:rPr>
          <w:lang w:val="de-DE"/>
        </w:rPr>
        <w:t>So liefer</w:t>
      </w:r>
      <w:r w:rsidR="007A7855">
        <w:rPr>
          <w:lang w:val="de-DE"/>
        </w:rPr>
        <w:t xml:space="preserve">t </w:t>
      </w:r>
      <w:r w:rsidR="00A2672D">
        <w:rPr>
          <w:lang w:val="de-DE"/>
        </w:rPr>
        <w:t>das Unternehmen b</w:t>
      </w:r>
      <w:r w:rsidR="00512212">
        <w:rPr>
          <w:lang w:val="de-DE"/>
        </w:rPr>
        <w:t xml:space="preserve">ereits seit 2021 </w:t>
      </w:r>
      <w:r w:rsidR="004F15EF">
        <w:rPr>
          <w:lang w:val="de-DE"/>
        </w:rPr>
        <w:t xml:space="preserve">das weltweit erste </w:t>
      </w:r>
      <w:r w:rsidR="00512212">
        <w:rPr>
          <w:lang w:val="de-DE"/>
        </w:rPr>
        <w:t>klim</w:t>
      </w:r>
      <w:r w:rsidR="00512212" w:rsidRPr="00E47A86">
        <w:rPr>
          <w:lang w:val="de-DE"/>
        </w:rPr>
        <w:t>aneutrale</w:t>
      </w:r>
      <w:r w:rsidR="00662C48" w:rsidRPr="00E47A86">
        <w:rPr>
          <w:vertAlign w:val="superscript"/>
          <w:lang w:val="de-DE"/>
        </w:rPr>
        <w:t>2</w:t>
      </w:r>
      <w:r w:rsidR="004F15EF" w:rsidRPr="00E47A86">
        <w:rPr>
          <w:lang w:val="de-DE"/>
        </w:rPr>
        <w:t xml:space="preserve"> </w:t>
      </w:r>
      <w:r w:rsidR="00512212" w:rsidRPr="00E47A86">
        <w:rPr>
          <w:lang w:val="de-DE"/>
        </w:rPr>
        <w:t>Polycarbonat</w:t>
      </w:r>
      <w:r w:rsidR="00512212">
        <w:rPr>
          <w:lang w:val="de-DE"/>
        </w:rPr>
        <w:t xml:space="preserve"> an seine Kunden aus</w:t>
      </w:r>
      <w:r w:rsidR="00FA0E80">
        <w:rPr>
          <w:lang w:val="de-DE"/>
        </w:rPr>
        <w:t xml:space="preserve">. </w:t>
      </w:r>
      <w:r w:rsidR="00E3029F">
        <w:rPr>
          <w:lang w:val="de-DE"/>
        </w:rPr>
        <w:t>Im Februar</w:t>
      </w:r>
      <w:r w:rsidR="00512212">
        <w:rPr>
          <w:lang w:val="de-DE"/>
        </w:rPr>
        <w:t xml:space="preserve"> 2022 </w:t>
      </w:r>
      <w:r w:rsidR="004F15EF">
        <w:rPr>
          <w:lang w:val="de-DE"/>
        </w:rPr>
        <w:t>folgte</w:t>
      </w:r>
      <w:r w:rsidR="009B54F3">
        <w:rPr>
          <w:lang w:val="de-DE"/>
        </w:rPr>
        <w:t xml:space="preserve"> </w:t>
      </w:r>
      <w:r w:rsidR="00DA1BDA">
        <w:rPr>
          <w:lang w:val="de-DE"/>
        </w:rPr>
        <w:t>zudem d</w:t>
      </w:r>
      <w:r w:rsidR="004F15EF">
        <w:rPr>
          <w:lang w:val="de-DE"/>
        </w:rPr>
        <w:t xml:space="preserve">ie Aufnahme </w:t>
      </w:r>
      <w:r w:rsidR="008B1667">
        <w:rPr>
          <w:lang w:val="de-DE"/>
        </w:rPr>
        <w:t xml:space="preserve">des weltweit ersten klimaneutralen MDI </w:t>
      </w:r>
      <w:r w:rsidR="00BF36C4">
        <w:rPr>
          <w:lang w:val="de-DE"/>
        </w:rPr>
        <w:t>in das Produktsortiment</w:t>
      </w:r>
      <w:r w:rsidR="006011A8">
        <w:rPr>
          <w:lang w:val="de-DE"/>
        </w:rPr>
        <w:t xml:space="preserve">. So </w:t>
      </w:r>
      <w:r w:rsidR="00F41FE7">
        <w:rPr>
          <w:lang w:val="de-DE"/>
        </w:rPr>
        <w:t>reduziert Covestro seinen CO</w:t>
      </w:r>
      <w:r w:rsidR="00F41FE7" w:rsidRPr="006446E7">
        <w:rPr>
          <w:vertAlign w:val="subscript"/>
          <w:lang w:val="de-DE"/>
        </w:rPr>
        <w:t>2</w:t>
      </w:r>
      <w:r w:rsidR="00F41FE7">
        <w:rPr>
          <w:lang w:val="de-DE"/>
        </w:rPr>
        <w:t xml:space="preserve">-Fußabdruck von der Wiege bis zum Werkstor deutlich </w:t>
      </w:r>
      <w:r w:rsidR="007A7855">
        <w:rPr>
          <w:lang w:val="de-DE"/>
        </w:rPr>
        <w:t>und hilft seinen Kunden dabei, ihre Klimaziele zu erreichen und den Übergang zur Kreislaufwirtschaft voranzutreiben.</w:t>
      </w:r>
    </w:p>
    <w:p w14:paraId="70991ADD" w14:textId="5A047E5C" w:rsidR="008448D3" w:rsidRDefault="008448D3" w:rsidP="00E86120">
      <w:pPr>
        <w:spacing w:after="0" w:line="300" w:lineRule="atLeast"/>
        <w:rPr>
          <w:lang w:val="de-DE"/>
        </w:rPr>
      </w:pPr>
    </w:p>
    <w:p w14:paraId="0AFD1A21" w14:textId="1F79E6C8" w:rsidR="000232EB" w:rsidRDefault="009020ED" w:rsidP="00E86120">
      <w:pPr>
        <w:spacing w:after="0" w:line="300" w:lineRule="atLeast"/>
        <w:rPr>
          <w:lang w:val="de-DE"/>
        </w:rPr>
      </w:pPr>
      <w:r>
        <w:rPr>
          <w:lang w:val="de-DE"/>
        </w:rPr>
        <w:t>Auf dem Weg zur Erreichung seiner</w:t>
      </w:r>
      <w:r w:rsidR="0003585A">
        <w:rPr>
          <w:lang w:val="de-DE"/>
        </w:rPr>
        <w:t xml:space="preserve"> </w:t>
      </w:r>
      <w:r w:rsidR="00BA417D">
        <w:rPr>
          <w:lang w:val="de-DE"/>
        </w:rPr>
        <w:t xml:space="preserve">ambitionierten </w:t>
      </w:r>
      <w:r w:rsidR="00792C55">
        <w:rPr>
          <w:lang w:val="de-DE"/>
        </w:rPr>
        <w:t>Klimaz</w:t>
      </w:r>
      <w:r w:rsidR="00BA417D">
        <w:rPr>
          <w:lang w:val="de-DE"/>
        </w:rPr>
        <w:t xml:space="preserve">iele </w:t>
      </w:r>
      <w:r w:rsidR="000B4C11">
        <w:rPr>
          <w:lang w:val="de-DE"/>
        </w:rPr>
        <w:t xml:space="preserve">und vollständigen Ausrichtung auf die Kreislaufwirtschaft </w:t>
      </w:r>
      <w:r>
        <w:rPr>
          <w:lang w:val="de-DE"/>
        </w:rPr>
        <w:t>hat Covestro im ersten Quartal 2022 weitere Fortschritte erzielt</w:t>
      </w:r>
      <w:r w:rsidR="009757D6">
        <w:rPr>
          <w:lang w:val="de-DE"/>
        </w:rPr>
        <w:t xml:space="preserve">. So hat </w:t>
      </w:r>
      <w:r w:rsidR="00E703B9">
        <w:rPr>
          <w:lang w:val="de-DE"/>
        </w:rPr>
        <w:t xml:space="preserve">der Konzern </w:t>
      </w:r>
      <w:r>
        <w:rPr>
          <w:lang w:val="de-DE"/>
        </w:rPr>
        <w:t>zu Beginn des Jahres</w:t>
      </w:r>
      <w:r w:rsidR="009757D6">
        <w:rPr>
          <w:lang w:val="de-DE"/>
        </w:rPr>
        <w:t xml:space="preserve"> </w:t>
      </w:r>
      <w:r w:rsidR="000A7938">
        <w:rPr>
          <w:lang w:val="de-DE"/>
        </w:rPr>
        <w:t xml:space="preserve">gemeinsam </w:t>
      </w:r>
      <w:r w:rsidR="00BF2F13">
        <w:rPr>
          <w:lang w:val="de-DE"/>
        </w:rPr>
        <w:t>mit Fortescue Future Industries (FFI), einem weltweit tätigen Unternehmen für grüne Energie mit Sitz in Australien</w:t>
      </w:r>
      <w:r w:rsidR="00BA52AA">
        <w:rPr>
          <w:lang w:val="de-DE"/>
        </w:rPr>
        <w:t xml:space="preserve">, eine gemeinsame Vereinbarung über die Lieferung von </w:t>
      </w:r>
      <w:r w:rsidR="000B7C08">
        <w:rPr>
          <w:lang w:val="de-DE"/>
        </w:rPr>
        <w:t xml:space="preserve">bis zu 100.000 </w:t>
      </w:r>
      <w:r w:rsidR="00DC7AC8">
        <w:rPr>
          <w:lang w:val="de-DE"/>
        </w:rPr>
        <w:t xml:space="preserve">Tonnen </w:t>
      </w:r>
      <w:r w:rsidR="00BA52AA">
        <w:rPr>
          <w:lang w:val="de-DE"/>
        </w:rPr>
        <w:t xml:space="preserve">grünem Wasserstoff und seinen Derivaten veröffentlicht. </w:t>
      </w:r>
      <w:r w:rsidR="00DC7AC8">
        <w:rPr>
          <w:lang w:val="de-DE"/>
        </w:rPr>
        <w:t>Die Lieferungen, die bereits</w:t>
      </w:r>
      <w:r w:rsidR="009B3504">
        <w:rPr>
          <w:lang w:val="de-DE"/>
        </w:rPr>
        <w:t xml:space="preserve"> ab</w:t>
      </w:r>
      <w:r w:rsidR="00DC7AC8">
        <w:rPr>
          <w:lang w:val="de-DE"/>
        </w:rPr>
        <w:t xml:space="preserve"> 2024 beginnen könnten, sind für Produktionsstandorte in Asien, Nordamerika und Europa vorgesehen und</w:t>
      </w:r>
      <w:r w:rsidR="00631E9A">
        <w:rPr>
          <w:lang w:val="de-DE"/>
        </w:rPr>
        <w:t xml:space="preserve"> </w:t>
      </w:r>
      <w:r w:rsidR="009757D6">
        <w:rPr>
          <w:lang w:val="de-DE"/>
        </w:rPr>
        <w:t>helfen</w:t>
      </w:r>
      <w:r w:rsidR="00DC7AC8">
        <w:rPr>
          <w:lang w:val="de-DE"/>
        </w:rPr>
        <w:t xml:space="preserve">, </w:t>
      </w:r>
      <w:r w:rsidR="00A53D2C">
        <w:rPr>
          <w:lang w:val="de-DE"/>
        </w:rPr>
        <w:t xml:space="preserve">die Treibhausgasemissionen </w:t>
      </w:r>
      <w:r w:rsidR="006B6796">
        <w:rPr>
          <w:lang w:val="de-DE"/>
        </w:rPr>
        <w:t>von Covestro</w:t>
      </w:r>
      <w:r w:rsidR="00A53D2C">
        <w:rPr>
          <w:lang w:val="de-DE"/>
        </w:rPr>
        <w:t xml:space="preserve"> um bis zu 900.000 Tonnen CO</w:t>
      </w:r>
      <w:r w:rsidR="00A53D2C" w:rsidRPr="00251345">
        <w:rPr>
          <w:vertAlign w:val="subscript"/>
          <w:lang w:val="de-DE"/>
        </w:rPr>
        <w:t>2</w:t>
      </w:r>
      <w:r w:rsidR="00A53D2C">
        <w:rPr>
          <w:lang w:val="de-DE"/>
        </w:rPr>
        <w:t xml:space="preserve"> pro Jahr zu reduzieren.</w:t>
      </w:r>
    </w:p>
    <w:p w14:paraId="05FFEE9A" w14:textId="77777777" w:rsidR="000B4C11" w:rsidRPr="000B4C11" w:rsidRDefault="000B4C11" w:rsidP="00E86120">
      <w:pPr>
        <w:spacing w:after="0" w:line="300" w:lineRule="atLeast"/>
        <w:rPr>
          <w:lang w:val="de-DE"/>
        </w:rPr>
      </w:pPr>
    </w:p>
    <w:p w14:paraId="3DE64F09" w14:textId="6678B1F7" w:rsidR="009F2FA1" w:rsidRPr="001F5BFE" w:rsidRDefault="00F045BF" w:rsidP="00E86120">
      <w:pPr>
        <w:spacing w:after="0" w:line="300" w:lineRule="atLeast"/>
        <w:rPr>
          <w:b/>
          <w:bCs/>
          <w:lang w:val="de-DE"/>
        </w:rPr>
      </w:pPr>
      <w:r>
        <w:rPr>
          <w:b/>
          <w:bCs/>
          <w:lang w:val="de-DE"/>
        </w:rPr>
        <w:t>Umsatzwachstum in beiden Segmenten</w:t>
      </w:r>
    </w:p>
    <w:p w14:paraId="68D14545" w14:textId="77777777" w:rsidR="001F5BFE" w:rsidRDefault="001F5BFE" w:rsidP="00E86120">
      <w:pPr>
        <w:spacing w:after="0" w:line="300" w:lineRule="atLeast"/>
        <w:rPr>
          <w:lang w:val="de-DE"/>
        </w:rPr>
      </w:pPr>
    </w:p>
    <w:p w14:paraId="2093F4CA" w14:textId="2686F486" w:rsidR="00D67291" w:rsidRPr="00784D4F" w:rsidRDefault="008C0ABA" w:rsidP="00E86120">
      <w:pPr>
        <w:spacing w:after="0" w:line="300" w:lineRule="atLeast"/>
        <w:rPr>
          <w:lang w:val="de-DE"/>
        </w:rPr>
      </w:pPr>
      <w:r w:rsidRPr="00784D4F">
        <w:rPr>
          <w:lang w:val="de-DE"/>
        </w:rPr>
        <w:t>Im Segment Performance Materials erhöhte sich der Umsatz im ersten Quartal 2022 um 37,2 Prozent auf 2,</w:t>
      </w:r>
      <w:r w:rsidR="00F4520A" w:rsidRPr="00784D4F">
        <w:rPr>
          <w:lang w:val="de-DE"/>
        </w:rPr>
        <w:t>4</w:t>
      </w:r>
      <w:r w:rsidRPr="00784D4F">
        <w:rPr>
          <w:lang w:val="de-DE"/>
        </w:rPr>
        <w:t xml:space="preserve"> Mrd. Euro (Vorjahr: 1,7 Mrd. Euro)</w:t>
      </w:r>
      <w:r w:rsidR="00B83614" w:rsidRPr="00784D4F">
        <w:rPr>
          <w:lang w:val="de-DE"/>
        </w:rPr>
        <w:t>.</w:t>
      </w:r>
      <w:r w:rsidR="007B1A72" w:rsidRPr="00784D4F">
        <w:rPr>
          <w:lang w:val="de-DE"/>
        </w:rPr>
        <w:t xml:space="preserve"> </w:t>
      </w:r>
      <w:r w:rsidR="00EB5B5B" w:rsidRPr="00784D4F">
        <w:rPr>
          <w:lang w:val="de-DE"/>
        </w:rPr>
        <w:t>Den größten positiven Effekt hatte</w:t>
      </w:r>
      <w:r w:rsidR="006A3EFC" w:rsidRPr="00784D4F">
        <w:rPr>
          <w:lang w:val="de-DE"/>
        </w:rPr>
        <w:t xml:space="preserve"> dabei die weiterhin vorteilhafte Wettbewerbssituation von Covestro, die </w:t>
      </w:r>
      <w:r w:rsidR="0030350C" w:rsidRPr="00784D4F">
        <w:rPr>
          <w:lang w:val="de-DE"/>
        </w:rPr>
        <w:t xml:space="preserve">zu hohen </w:t>
      </w:r>
      <w:r w:rsidR="006A3EFC" w:rsidRPr="00784D4F">
        <w:rPr>
          <w:lang w:val="de-DE"/>
        </w:rPr>
        <w:t>durchschnittlichen Verkaufspreise</w:t>
      </w:r>
      <w:r w:rsidR="0030350C" w:rsidRPr="00784D4F">
        <w:rPr>
          <w:lang w:val="de-DE"/>
        </w:rPr>
        <w:t>n geführt hat</w:t>
      </w:r>
      <w:r w:rsidR="00BC28AD" w:rsidRPr="00784D4F">
        <w:rPr>
          <w:lang w:val="de-DE"/>
        </w:rPr>
        <w:t xml:space="preserve">. </w:t>
      </w:r>
      <w:r w:rsidR="00D75DF3" w:rsidRPr="00784D4F">
        <w:rPr>
          <w:lang w:val="de-DE"/>
        </w:rPr>
        <w:t>Das EBITDA von Performance Materials sank leicht um 1,6 Prozent, blieb mit 620</w:t>
      </w:r>
      <w:r w:rsidR="007B3546" w:rsidRPr="00784D4F">
        <w:rPr>
          <w:lang w:val="de-DE"/>
        </w:rPr>
        <w:t> </w:t>
      </w:r>
      <w:r w:rsidR="00D75DF3" w:rsidRPr="00784D4F">
        <w:rPr>
          <w:lang w:val="de-DE"/>
        </w:rPr>
        <w:t>Mio. Euro aber dennoch knapp auf dem Niveau des Vorjahresquartals (Vorjahr: 630 Mio. Euro)</w:t>
      </w:r>
      <w:r w:rsidR="00CE0E21" w:rsidRPr="00784D4F">
        <w:rPr>
          <w:lang w:val="de-DE"/>
        </w:rPr>
        <w:t xml:space="preserve">. Ursächlich hierfür waren </w:t>
      </w:r>
      <w:r w:rsidR="005C793D" w:rsidRPr="00784D4F">
        <w:rPr>
          <w:lang w:val="de-DE"/>
        </w:rPr>
        <w:t>insbesondere gestiegene</w:t>
      </w:r>
      <w:r w:rsidR="00CE0E21" w:rsidRPr="00784D4F">
        <w:rPr>
          <w:lang w:val="de-DE"/>
        </w:rPr>
        <w:t xml:space="preserve"> </w:t>
      </w:r>
      <w:r w:rsidR="005C793D" w:rsidRPr="00784D4F">
        <w:rPr>
          <w:lang w:val="de-DE"/>
        </w:rPr>
        <w:lastRenderedPageBreak/>
        <w:t>Rohstoff- und Energiepreise</w:t>
      </w:r>
      <w:r w:rsidR="00CE0E21" w:rsidRPr="00784D4F">
        <w:rPr>
          <w:lang w:val="de-DE"/>
        </w:rPr>
        <w:t xml:space="preserve">, die zwar weitgehend, aber nicht vollständig kompensiert werden konnten und </w:t>
      </w:r>
      <w:r w:rsidR="00784D4F" w:rsidRPr="00784D4F">
        <w:rPr>
          <w:lang w:val="de-DE"/>
        </w:rPr>
        <w:t xml:space="preserve">daher gesunkene Margen zur Folge hatten. </w:t>
      </w:r>
      <w:r w:rsidR="004E2BB2" w:rsidRPr="00784D4F">
        <w:rPr>
          <w:lang w:val="de-DE"/>
        </w:rPr>
        <w:t xml:space="preserve">Der Free Operating Cash Flow verringerte sich um 56,8 Prozent auf </w:t>
      </w:r>
      <w:r w:rsidR="001A180C" w:rsidRPr="00784D4F">
        <w:rPr>
          <w:lang w:val="de-DE"/>
        </w:rPr>
        <w:t>112</w:t>
      </w:r>
      <w:r w:rsidR="00720424" w:rsidRPr="00784D4F">
        <w:rPr>
          <w:lang w:val="de-DE"/>
        </w:rPr>
        <w:t> </w:t>
      </w:r>
      <w:r w:rsidR="001A180C" w:rsidRPr="00784D4F">
        <w:rPr>
          <w:lang w:val="de-DE"/>
        </w:rPr>
        <w:t>Mio. Euro (Vorjahr: 259 Mio. Euro)</w:t>
      </w:r>
      <w:r w:rsidR="00AB564F" w:rsidRPr="00784D4F">
        <w:rPr>
          <w:lang w:val="de-DE"/>
        </w:rPr>
        <w:t>, im Wesentlichen aufgrund einer höheren Mittelbindung im Working Capital.</w:t>
      </w:r>
      <w:r w:rsidR="00AB564F">
        <w:rPr>
          <w:lang w:val="de-DE"/>
        </w:rPr>
        <w:t xml:space="preserve"> </w:t>
      </w:r>
    </w:p>
    <w:p w14:paraId="3C42717B" w14:textId="5C084DA7" w:rsidR="00AB564F" w:rsidRDefault="00AB564F" w:rsidP="00E86120">
      <w:pPr>
        <w:spacing w:after="0" w:line="300" w:lineRule="atLeast"/>
        <w:rPr>
          <w:lang w:val="de-DE"/>
        </w:rPr>
      </w:pPr>
    </w:p>
    <w:p w14:paraId="4597F4EE" w14:textId="78DA58B5" w:rsidR="00AB564F" w:rsidRPr="000E3FB6" w:rsidRDefault="00AB564F" w:rsidP="00E86120">
      <w:pPr>
        <w:spacing w:after="0" w:line="300" w:lineRule="atLeast"/>
        <w:rPr>
          <w:lang w:val="de-DE"/>
        </w:rPr>
      </w:pPr>
      <w:r>
        <w:rPr>
          <w:lang w:val="de-DE"/>
        </w:rPr>
        <w:t xml:space="preserve">Das Segment Solutions &amp; Specialties </w:t>
      </w:r>
      <w:r w:rsidR="00A14F6E">
        <w:rPr>
          <w:lang w:val="de-DE"/>
        </w:rPr>
        <w:t xml:space="preserve">verzeichnete in den ersten drei Monaten des Geschäftsjahres 2022 einen Umsatzanstieg um </w:t>
      </w:r>
      <w:r w:rsidR="00C905C9">
        <w:rPr>
          <w:lang w:val="de-DE"/>
        </w:rPr>
        <w:t>45,3 Prozent auf 2,2 M</w:t>
      </w:r>
      <w:r w:rsidR="000232EB">
        <w:rPr>
          <w:lang w:val="de-DE"/>
        </w:rPr>
        <w:t>rd</w:t>
      </w:r>
      <w:r w:rsidR="00C905C9">
        <w:rPr>
          <w:lang w:val="de-DE"/>
        </w:rPr>
        <w:t xml:space="preserve">. Euro </w:t>
      </w:r>
      <w:r w:rsidR="001955B5">
        <w:rPr>
          <w:lang w:val="de-DE"/>
        </w:rPr>
        <w:t xml:space="preserve">(Vorjahr: </w:t>
      </w:r>
      <w:r w:rsidR="00E232B8">
        <w:rPr>
          <w:lang w:val="de-DE"/>
        </w:rPr>
        <w:t>1,5 M</w:t>
      </w:r>
      <w:r w:rsidR="000232EB">
        <w:rPr>
          <w:lang w:val="de-DE"/>
        </w:rPr>
        <w:t>rd</w:t>
      </w:r>
      <w:r w:rsidR="00E232B8">
        <w:rPr>
          <w:lang w:val="de-DE"/>
        </w:rPr>
        <w:t>. Euro</w:t>
      </w:r>
      <w:r w:rsidR="00B83614">
        <w:rPr>
          <w:lang w:val="de-DE"/>
        </w:rPr>
        <w:t xml:space="preserve">). </w:t>
      </w:r>
      <w:r w:rsidR="007450F2">
        <w:rPr>
          <w:lang w:val="de-DE"/>
        </w:rPr>
        <w:t xml:space="preserve">Umsatzsteigernd wirkten sich dabei insbesondere </w:t>
      </w:r>
      <w:r w:rsidR="00AB03A0">
        <w:rPr>
          <w:lang w:val="de-DE"/>
        </w:rPr>
        <w:t>der Effekt</w:t>
      </w:r>
      <w:r w:rsidR="003727BB">
        <w:rPr>
          <w:lang w:val="de-DE"/>
        </w:rPr>
        <w:t xml:space="preserve"> aus der</w:t>
      </w:r>
      <w:r w:rsidR="007450F2">
        <w:rPr>
          <w:lang w:val="de-DE"/>
        </w:rPr>
        <w:t xml:space="preserve"> RFM-Übernahme sowie ein gestiegenes Verkaufspreisniveau </w:t>
      </w:r>
      <w:r w:rsidR="00BC08CC">
        <w:rPr>
          <w:lang w:val="de-DE"/>
        </w:rPr>
        <w:t xml:space="preserve">aus. Das EBITDA </w:t>
      </w:r>
      <w:r w:rsidR="00B73720">
        <w:rPr>
          <w:lang w:val="de-DE"/>
        </w:rPr>
        <w:t>des Segments</w:t>
      </w:r>
      <w:r w:rsidR="00B83614">
        <w:rPr>
          <w:lang w:val="de-DE"/>
        </w:rPr>
        <w:t xml:space="preserve"> </w:t>
      </w:r>
      <w:r w:rsidR="00B73720">
        <w:rPr>
          <w:lang w:val="de-DE"/>
        </w:rPr>
        <w:t xml:space="preserve">stieg </w:t>
      </w:r>
      <w:r w:rsidR="00F05F51">
        <w:rPr>
          <w:lang w:val="de-DE"/>
        </w:rPr>
        <w:t>im Vergleich zum Vorjahresquartal um 23,8 Prozent auf 224 Mio. Euro (Vorjahr: 181 Mio. Euro)</w:t>
      </w:r>
      <w:r w:rsidR="00EA6C81">
        <w:rPr>
          <w:lang w:val="de-DE"/>
        </w:rPr>
        <w:t>, im Wesentlichen bedingt durch die RFM-Übernahme</w:t>
      </w:r>
      <w:r w:rsidR="00746AE9">
        <w:rPr>
          <w:lang w:val="de-DE"/>
        </w:rPr>
        <w:t xml:space="preserve">. </w:t>
      </w:r>
      <w:r w:rsidR="0094420A">
        <w:rPr>
          <w:lang w:val="de-DE"/>
        </w:rPr>
        <w:t xml:space="preserve">Rückläufige Margen aufgrund höherer Rohstoff- und Energiepreise hatten hingegen einen gegenläufigen Effekt. </w:t>
      </w:r>
      <w:r w:rsidR="003A26AD" w:rsidRPr="008D51D0">
        <w:rPr>
          <w:lang w:val="de-DE"/>
        </w:rPr>
        <w:t xml:space="preserve">Der Free Operating Cash Flow </w:t>
      </w:r>
      <w:r w:rsidR="000E3FB6" w:rsidRPr="008D51D0">
        <w:rPr>
          <w:lang w:val="de-DE"/>
        </w:rPr>
        <w:t xml:space="preserve">von Solutions &amp; Specialties sank </w:t>
      </w:r>
      <w:r w:rsidR="005D3600" w:rsidRPr="000E3FB6">
        <w:rPr>
          <w:lang w:val="de-DE"/>
        </w:rPr>
        <w:t>aufgrund einer im V</w:t>
      </w:r>
      <w:r w:rsidR="005D3600">
        <w:rPr>
          <w:lang w:val="de-DE"/>
        </w:rPr>
        <w:t>orjahresvergleich höheren Mittelbindung im Working Capital</w:t>
      </w:r>
      <w:r w:rsidR="005D3600" w:rsidRPr="008D51D0">
        <w:rPr>
          <w:lang w:val="de-DE"/>
        </w:rPr>
        <w:t xml:space="preserve"> </w:t>
      </w:r>
      <w:r w:rsidR="000E3FB6" w:rsidRPr="008D51D0">
        <w:rPr>
          <w:lang w:val="de-DE"/>
        </w:rPr>
        <w:t xml:space="preserve">auf </w:t>
      </w:r>
      <w:r w:rsidR="00C701DB" w:rsidRPr="008D51D0">
        <w:rPr>
          <w:lang w:val="de-DE"/>
        </w:rPr>
        <w:t>–</w:t>
      </w:r>
      <w:r w:rsidR="000E3FB6" w:rsidRPr="008D51D0">
        <w:rPr>
          <w:lang w:val="de-DE"/>
        </w:rPr>
        <w:t xml:space="preserve">146 Mio. </w:t>
      </w:r>
      <w:r w:rsidR="000E3FB6" w:rsidRPr="000E3FB6">
        <w:rPr>
          <w:lang w:val="de-DE"/>
        </w:rPr>
        <w:t>Euro (Vorjahr: 11 Mio. Euro)</w:t>
      </w:r>
      <w:r w:rsidR="000E3FB6">
        <w:rPr>
          <w:lang w:val="de-DE"/>
        </w:rPr>
        <w:t xml:space="preserve">. </w:t>
      </w:r>
    </w:p>
    <w:p w14:paraId="781A65C8" w14:textId="77777777" w:rsidR="00F21219" w:rsidRPr="000E3FB6" w:rsidRDefault="00F21219" w:rsidP="00E86120">
      <w:pPr>
        <w:spacing w:after="0" w:line="300" w:lineRule="atLeast"/>
        <w:rPr>
          <w:rFonts w:eastAsia="Times New Roman" w:cs="Arial"/>
          <w:b/>
          <w:bCs/>
          <w:noProof w:val="0"/>
          <w:spacing w:val="0"/>
          <w:kern w:val="0"/>
          <w:szCs w:val="21"/>
          <w:lang w:val="de-DE" w:eastAsia="en-US"/>
        </w:rPr>
      </w:pPr>
    </w:p>
    <w:p w14:paraId="69D890A8" w14:textId="79F52577" w:rsidR="00C875DC" w:rsidRDefault="003204A5" w:rsidP="00E86120">
      <w:pPr>
        <w:spacing w:after="0" w:line="300" w:lineRule="atLeast"/>
        <w:rPr>
          <w:sz w:val="16"/>
          <w:szCs w:val="16"/>
          <w:lang w:val="de-DE"/>
        </w:rPr>
      </w:pPr>
      <w:r w:rsidRPr="006D2C0B">
        <w:rPr>
          <w:sz w:val="16"/>
          <w:szCs w:val="16"/>
          <w:vertAlign w:val="superscript"/>
          <w:lang w:val="de-DE"/>
        </w:rPr>
        <w:t>1</w:t>
      </w:r>
      <w:r w:rsidRPr="006D2C0B">
        <w:rPr>
          <w:sz w:val="16"/>
          <w:szCs w:val="16"/>
          <w:lang w:val="de-DE"/>
        </w:rPr>
        <w:t xml:space="preserve"> </w:t>
      </w:r>
      <w:r w:rsidR="006D2C0B" w:rsidRPr="006D2C0B">
        <w:rPr>
          <w:sz w:val="16"/>
          <w:szCs w:val="16"/>
          <w:lang w:val="de-DE"/>
        </w:rPr>
        <w:t>Die Erreichung von Netto-Nulltreibhausgasemissionen ist definiert als ein Gleichgewicht zwischen anthropogenen Emissionen [durch eigenen Betrieb und Energiebeschaffung] und dem anthropogenen Abbau von Treibhausgasen.</w:t>
      </w:r>
      <w:r w:rsidR="00432B84">
        <w:rPr>
          <w:sz w:val="16"/>
          <w:szCs w:val="16"/>
          <w:lang w:val="de-DE"/>
        </w:rPr>
        <w:br/>
      </w:r>
    </w:p>
    <w:p w14:paraId="62F58A16" w14:textId="44688CFA" w:rsidR="006D2C0B" w:rsidRPr="006D2C0B" w:rsidRDefault="006D2C0B" w:rsidP="00E86120">
      <w:pPr>
        <w:spacing w:after="0" w:line="300" w:lineRule="atLeast"/>
        <w:rPr>
          <w:sz w:val="16"/>
          <w:szCs w:val="16"/>
          <w:lang w:val="de-DE"/>
        </w:rPr>
      </w:pPr>
      <w:r w:rsidRPr="0012106D">
        <w:rPr>
          <w:sz w:val="16"/>
          <w:szCs w:val="16"/>
          <w:vertAlign w:val="superscript"/>
          <w:lang w:val="de-DE"/>
        </w:rPr>
        <w:t>2</w:t>
      </w:r>
      <w:r>
        <w:rPr>
          <w:sz w:val="16"/>
          <w:szCs w:val="16"/>
          <w:lang w:val="de-DE"/>
        </w:rPr>
        <w:t xml:space="preserve"> </w:t>
      </w:r>
      <w:r w:rsidR="0012106D" w:rsidRPr="0012106D">
        <w:rPr>
          <w:sz w:val="16"/>
          <w:szCs w:val="16"/>
          <w:lang w:val="de-DE"/>
        </w:rPr>
        <w:t>Die Bewertung „klimaneutral“ ist das Ergebnis einer Bewertung eines Teilabschnittes aus dem gesamten Produktlebenszyklus. Betrachtet wurde der Abschnitt von der Ressourcengewinnung (Cradle) bis zum Werkstor. Die Bewertung basiert auf der ISO-Norm 14040 und wurde vom TÜV Rheinland auf Plausibilität kritisch geprüft. Die Bewertung berücksichtigt die biogene Kohlenstoffbindung auf der Grundlage vorläufiger Daten aus der Lieferkette und dem Einsatz erneuerbarer Elektrizität im Rahmen des Produktionsprozesses. Die Zuordnung der Elektrizität erfolgte aufgrund sogenannter „Guarantee of Origin“ Zertifikate. Nicht angewendet wurden sogenannte Ausgleichszertifikate.</w:t>
      </w:r>
    </w:p>
    <w:p w14:paraId="36E0BCBA" w14:textId="13D09CCB" w:rsidR="003204A5" w:rsidRDefault="003204A5" w:rsidP="00E86120">
      <w:pPr>
        <w:spacing w:after="0" w:line="300" w:lineRule="atLeast"/>
        <w:rPr>
          <w:rFonts w:eastAsia="Times New Roman" w:cs="Arial"/>
          <w:b/>
          <w:bCs/>
          <w:noProof w:val="0"/>
          <w:spacing w:val="0"/>
          <w:kern w:val="0"/>
          <w:szCs w:val="21"/>
          <w:lang w:val="de-DE" w:eastAsia="en-US"/>
        </w:rPr>
      </w:pPr>
    </w:p>
    <w:p w14:paraId="451BC6F3" w14:textId="1C993334" w:rsidR="003E7167" w:rsidRPr="006D2C0B" w:rsidRDefault="003E7167" w:rsidP="00E86120">
      <w:pPr>
        <w:spacing w:after="0" w:line="300" w:lineRule="atLeast"/>
        <w:rPr>
          <w:rFonts w:eastAsia="Times New Roman" w:cs="Arial"/>
          <w:b/>
          <w:bCs/>
          <w:noProof w:val="0"/>
          <w:spacing w:val="0"/>
          <w:kern w:val="0"/>
          <w:szCs w:val="21"/>
          <w:lang w:val="de-DE" w:eastAsia="en-US"/>
        </w:rPr>
      </w:pPr>
    </w:p>
    <w:p w14:paraId="13E28EE4" w14:textId="77777777" w:rsidR="007341D9" w:rsidRPr="00B853C2" w:rsidRDefault="007341D9" w:rsidP="007341D9">
      <w:pPr>
        <w:spacing w:after="0" w:line="300" w:lineRule="atLeast"/>
        <w:rPr>
          <w:b/>
          <w:bCs/>
          <w:i/>
          <w:u w:val="single"/>
          <w:lang w:val="de-DE"/>
        </w:rPr>
      </w:pPr>
      <w:r w:rsidRPr="00B853C2">
        <w:rPr>
          <w:b/>
          <w:bCs/>
          <w:i/>
          <w:u w:val="single"/>
          <w:lang w:val="de-DE"/>
        </w:rPr>
        <w:t>Hinweise an die Redaktionen:</w:t>
      </w:r>
    </w:p>
    <w:p w14:paraId="7590816A" w14:textId="77777777" w:rsidR="007341D9" w:rsidRPr="005876B0" w:rsidRDefault="007341D9" w:rsidP="007341D9">
      <w:pPr>
        <w:spacing w:after="0" w:line="300" w:lineRule="atLeast"/>
        <w:rPr>
          <w:i/>
          <w:lang w:val="de-DE"/>
        </w:rPr>
      </w:pPr>
    </w:p>
    <w:p w14:paraId="43C1AF60" w14:textId="65D0BE59" w:rsidR="007341D9" w:rsidRPr="005876B0" w:rsidRDefault="007341D9" w:rsidP="007341D9">
      <w:pPr>
        <w:spacing w:after="0" w:line="300" w:lineRule="atLeast"/>
        <w:rPr>
          <w:i/>
          <w:lang w:val="de-DE"/>
        </w:rPr>
      </w:pPr>
      <w:r w:rsidRPr="005876B0">
        <w:rPr>
          <w:i/>
          <w:lang w:val="de-DE"/>
        </w:rPr>
        <w:t xml:space="preserve">Nachfolgend erhalten Sie eine Tabelle mit Kennzahlen der Covestro AG zum </w:t>
      </w:r>
      <w:r>
        <w:rPr>
          <w:i/>
          <w:lang w:val="de-DE"/>
        </w:rPr>
        <w:t>ersten Quartal 2022.</w:t>
      </w:r>
    </w:p>
    <w:p w14:paraId="310847D8" w14:textId="77777777" w:rsidR="007341D9" w:rsidRPr="00996961" w:rsidRDefault="007341D9" w:rsidP="007341D9">
      <w:pPr>
        <w:spacing w:after="0" w:line="300" w:lineRule="atLeast"/>
        <w:rPr>
          <w:i/>
          <w:lang w:val="de-DE"/>
        </w:rPr>
      </w:pPr>
    </w:p>
    <w:p w14:paraId="25B8F60C" w14:textId="41C7A398" w:rsidR="007341D9" w:rsidRDefault="007341D9" w:rsidP="007341D9">
      <w:pPr>
        <w:spacing w:after="0" w:line="300" w:lineRule="atLeast"/>
        <w:rPr>
          <w:rFonts w:cs="Arial"/>
          <w:i/>
          <w:iCs/>
          <w:noProof w:val="0"/>
          <w:spacing w:val="0"/>
          <w:kern w:val="0"/>
          <w:szCs w:val="21"/>
          <w:lang w:val="de-DE"/>
        </w:rPr>
      </w:pPr>
      <w:r>
        <w:rPr>
          <w:i/>
          <w:lang w:val="de-DE"/>
        </w:rPr>
        <w:t xml:space="preserve">Die Quartalsmitteilung </w:t>
      </w:r>
      <w:r w:rsidR="00A2047D">
        <w:rPr>
          <w:i/>
          <w:lang w:val="de-DE"/>
        </w:rPr>
        <w:t xml:space="preserve">zum ersten Quartal 2022 finden Sie unter </w:t>
      </w:r>
      <w:hyperlink r:id="rId11" w:history="1">
        <w:r w:rsidR="003E7167" w:rsidRPr="003E7167">
          <w:rPr>
            <w:rStyle w:val="Hyperlink"/>
            <w:i/>
            <w:iCs/>
            <w:lang w:val="de-DE"/>
          </w:rPr>
          <w:t xml:space="preserve">Quartalsmitteilung 1. </w:t>
        </w:r>
        <w:r w:rsidR="003E7167" w:rsidRPr="001156A7">
          <w:rPr>
            <w:rStyle w:val="Hyperlink"/>
            <w:i/>
            <w:iCs/>
            <w:lang w:val="de-DE"/>
          </w:rPr>
          <w:t>Quartal 2022 (covestro.com)</w:t>
        </w:r>
      </w:hyperlink>
    </w:p>
    <w:p w14:paraId="43C3F643" w14:textId="77777777" w:rsidR="007341D9" w:rsidRPr="00996961" w:rsidRDefault="007341D9" w:rsidP="007341D9">
      <w:pPr>
        <w:spacing w:after="0" w:line="300" w:lineRule="atLeast"/>
        <w:rPr>
          <w:i/>
          <w:lang w:val="de-DE"/>
        </w:rPr>
      </w:pPr>
    </w:p>
    <w:p w14:paraId="4FCB4241" w14:textId="77777777" w:rsidR="007341D9" w:rsidRPr="00C2402E" w:rsidRDefault="007341D9" w:rsidP="007341D9">
      <w:pPr>
        <w:spacing w:after="0" w:line="300" w:lineRule="atLeast"/>
        <w:rPr>
          <w:i/>
          <w:lang w:val="de-DE"/>
        </w:rPr>
      </w:pPr>
      <w:r w:rsidRPr="00996961">
        <w:rPr>
          <w:i/>
          <w:szCs w:val="21"/>
          <w:lang w:val="de-DE"/>
        </w:rPr>
        <w:t>Der Geschäftsbericht 202</w:t>
      </w:r>
      <w:r>
        <w:rPr>
          <w:i/>
          <w:szCs w:val="21"/>
          <w:lang w:val="de-DE"/>
        </w:rPr>
        <w:t>1</w:t>
      </w:r>
      <w:r w:rsidRPr="00996961">
        <w:rPr>
          <w:i/>
          <w:szCs w:val="21"/>
          <w:lang w:val="de-DE"/>
        </w:rPr>
        <w:t xml:space="preserve"> ist verfügbar unter</w:t>
      </w:r>
      <w:r>
        <w:rPr>
          <w:i/>
          <w:szCs w:val="21"/>
          <w:lang w:val="de-DE"/>
        </w:rPr>
        <w:t xml:space="preserve"> </w:t>
      </w:r>
      <w:r>
        <w:rPr>
          <w:i/>
          <w:lang w:val="de-DE"/>
        </w:rPr>
        <w:fldChar w:fldCharType="begin"/>
      </w:r>
      <w:r>
        <w:rPr>
          <w:i/>
          <w:lang w:val="de-DE"/>
        </w:rPr>
        <w:instrText xml:space="preserve"> HYPERLINK "</w:instrText>
      </w:r>
      <w:r w:rsidRPr="00C2402E">
        <w:rPr>
          <w:i/>
          <w:lang w:val="de-DE"/>
        </w:rPr>
        <w:instrText>https://</w:instrText>
      </w:r>
      <w:r w:rsidRPr="00C2402E">
        <w:rPr>
          <w:rFonts w:cs="Arial"/>
          <w:i/>
          <w:iCs/>
          <w:noProof w:val="0"/>
          <w:spacing w:val="0"/>
          <w:kern w:val="0"/>
          <w:szCs w:val="21"/>
          <w:lang w:val="de-DE"/>
        </w:rPr>
        <w:instrText>bericht.covestro.com.</w:instrText>
      </w:r>
    </w:p>
    <w:p w14:paraId="43B99041" w14:textId="77777777" w:rsidR="007341D9" w:rsidRPr="00B11BFC" w:rsidRDefault="007341D9" w:rsidP="007341D9">
      <w:pPr>
        <w:spacing w:after="0" w:line="300" w:lineRule="atLeast"/>
        <w:rPr>
          <w:rStyle w:val="Hyperlink"/>
          <w:i/>
          <w:lang w:val="de-DE"/>
        </w:rPr>
      </w:pPr>
      <w:r>
        <w:rPr>
          <w:i/>
          <w:lang w:val="de-DE"/>
        </w:rPr>
        <w:instrText xml:space="preserve">" </w:instrText>
      </w:r>
      <w:r>
        <w:rPr>
          <w:i/>
          <w:lang w:val="de-DE"/>
        </w:rPr>
        <w:fldChar w:fldCharType="separate"/>
      </w:r>
      <w:r w:rsidRPr="00B11BFC">
        <w:rPr>
          <w:rStyle w:val="Hyperlink"/>
          <w:i/>
          <w:lang w:val="de-DE"/>
        </w:rPr>
        <w:t>https://</w:t>
      </w:r>
      <w:r w:rsidRPr="00B11BFC">
        <w:rPr>
          <w:rStyle w:val="Hyperlink"/>
          <w:rFonts w:cs="Arial"/>
          <w:i/>
          <w:iCs/>
          <w:noProof w:val="0"/>
          <w:spacing w:val="0"/>
          <w:kern w:val="0"/>
          <w:szCs w:val="21"/>
          <w:lang w:val="de-DE"/>
        </w:rPr>
        <w:t>bericht.covestro.com.</w:t>
      </w:r>
    </w:p>
    <w:p w14:paraId="46DA3EA1" w14:textId="6B408E17" w:rsidR="003204A5" w:rsidRDefault="007341D9" w:rsidP="007341D9">
      <w:pPr>
        <w:spacing w:after="0" w:line="300" w:lineRule="atLeast"/>
        <w:rPr>
          <w:i/>
          <w:lang w:val="de-DE"/>
        </w:rPr>
      </w:pPr>
      <w:r>
        <w:rPr>
          <w:i/>
          <w:lang w:val="de-DE"/>
        </w:rPr>
        <w:fldChar w:fldCharType="end"/>
      </w:r>
    </w:p>
    <w:p w14:paraId="2698050A" w14:textId="304189A6" w:rsidR="003E7167" w:rsidRDefault="003E7167" w:rsidP="007341D9">
      <w:pPr>
        <w:spacing w:after="0" w:line="300" w:lineRule="atLeast"/>
        <w:rPr>
          <w:rFonts w:eastAsia="Times New Roman" w:cs="Arial"/>
          <w:b/>
          <w:bCs/>
          <w:noProof w:val="0"/>
          <w:spacing w:val="0"/>
          <w:kern w:val="0"/>
          <w:szCs w:val="21"/>
          <w:lang w:val="de-DE" w:eastAsia="en-US"/>
        </w:rPr>
      </w:pPr>
    </w:p>
    <w:p w14:paraId="5D4A79AC" w14:textId="77777777" w:rsidR="00895B06" w:rsidRPr="006D2C0B" w:rsidRDefault="00895B06" w:rsidP="007341D9">
      <w:pPr>
        <w:spacing w:after="0" w:line="300" w:lineRule="atLeast"/>
        <w:rPr>
          <w:rFonts w:eastAsia="Times New Roman" w:cs="Arial"/>
          <w:b/>
          <w:bCs/>
          <w:noProof w:val="0"/>
          <w:spacing w:val="0"/>
          <w:kern w:val="0"/>
          <w:szCs w:val="21"/>
          <w:lang w:val="de-DE" w:eastAsia="en-US"/>
        </w:rPr>
      </w:pPr>
    </w:p>
    <w:p w14:paraId="68CB156B" w14:textId="07D5AD99" w:rsidR="00C875DC" w:rsidRDefault="00C875DC" w:rsidP="00C875DC">
      <w:pPr>
        <w:spacing w:after="0" w:line="300" w:lineRule="atLeas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lastRenderedPageBreak/>
        <w:t xml:space="preserve">Über Covestro: </w:t>
      </w:r>
    </w:p>
    <w:p w14:paraId="196C0E88" w14:textId="77777777" w:rsidR="000A6E29" w:rsidRPr="005D4F2B" w:rsidRDefault="000A6E29" w:rsidP="000A6E29">
      <w:pPr>
        <w:spacing w:after="0" w:line="300" w:lineRule="atLeast"/>
        <w:rPr>
          <w:lang w:val="de-DE"/>
        </w:rPr>
      </w:pPr>
      <w:r w:rsidRPr="005D4F2B">
        <w:rPr>
          <w:lang w:val="de-DE"/>
        </w:rPr>
        <w:t xml:space="preserve">Covestro zählt zu den weltweit führenden Herstellern von hochwertigen Kunststoffen und deren Komponenten. Mit seinen innovativen Produkten und Verfahren trägt das Unternehmen zu mehr Nachhaltigkeit und Lebensqualität auf vielen Gebieten bei. Covestro beliefert rund um den Globus Kunden in Schlüsselindustrien wie Mobilität, Bauen und Wohnen sowie Elektro und Elektronik. Außerdem werden die Polymere von Covestro in Bereichen wie Sport und Freizeit, Kosmetik, Gesundheit sowie in der Chemieindustrie selbst eingesetzt. </w:t>
      </w:r>
    </w:p>
    <w:p w14:paraId="6176294F" w14:textId="77777777" w:rsidR="000A6E29" w:rsidRDefault="000A6E29" w:rsidP="000A6E29">
      <w:pPr>
        <w:spacing w:after="0" w:line="300" w:lineRule="atLeast"/>
        <w:rPr>
          <w:lang w:val="de-DE"/>
        </w:rPr>
      </w:pPr>
    </w:p>
    <w:p w14:paraId="0D1B947E" w14:textId="77777777" w:rsidR="000A6E29" w:rsidRDefault="000A6E29" w:rsidP="000A6E29">
      <w:pPr>
        <w:spacing w:after="0" w:line="300" w:lineRule="atLeast"/>
        <w:rPr>
          <w:lang w:val="de-DE"/>
        </w:rPr>
      </w:pPr>
      <w:r w:rsidRPr="005D4F2B">
        <w:rPr>
          <w:lang w:val="de-DE"/>
        </w:rPr>
        <w:t xml:space="preserve">Das Unternehmen richtet sich vollständig auf die Kreislaufwirtschaft aus und strebt </w:t>
      </w:r>
      <w:r w:rsidRPr="00735799">
        <w:rPr>
          <w:lang w:val="de-DE"/>
        </w:rPr>
        <w:t>an</w:t>
      </w:r>
      <w:r>
        <w:rPr>
          <w:lang w:val="de-DE"/>
        </w:rPr>
        <w:t xml:space="preserve">, bis 2035 klimaneutral zu werden (Scope 1 und 2). </w:t>
      </w:r>
      <w:r w:rsidRPr="005D4F2B">
        <w:rPr>
          <w:lang w:val="de-DE"/>
        </w:rPr>
        <w:t xml:space="preserve">Im Geschäftsjahr 2021 erzielte Covestro einen Umsatz von </w:t>
      </w:r>
      <w:r>
        <w:rPr>
          <w:lang w:val="de-DE"/>
        </w:rPr>
        <w:t>15,9</w:t>
      </w:r>
      <w:r w:rsidRPr="005D4F2B">
        <w:rPr>
          <w:lang w:val="de-DE"/>
        </w:rPr>
        <w:t xml:space="preserve"> Milliarden Euro. Per Ende 2021 produziert das Unternehmen an </w:t>
      </w:r>
      <w:r>
        <w:rPr>
          <w:lang w:val="de-DE"/>
        </w:rPr>
        <w:t>50</w:t>
      </w:r>
      <w:r w:rsidRPr="005D4F2B">
        <w:rPr>
          <w:lang w:val="de-DE"/>
        </w:rPr>
        <w:t xml:space="preserve"> Standorten weltweit und beschäftigt rund </w:t>
      </w:r>
      <w:r>
        <w:rPr>
          <w:lang w:val="de-DE"/>
        </w:rPr>
        <w:t>17.900</w:t>
      </w:r>
      <w:r w:rsidRPr="005D4F2B">
        <w:rPr>
          <w:lang w:val="de-DE"/>
        </w:rPr>
        <w:t xml:space="preserve"> Mitarbeitende (umgerechnet auf Vollzeitstellen). </w:t>
      </w:r>
    </w:p>
    <w:p w14:paraId="67BCE1F2" w14:textId="54350250" w:rsidR="009458AA" w:rsidRDefault="009458AA" w:rsidP="00C875DC">
      <w:pPr>
        <w:spacing w:after="0" w:line="300" w:lineRule="atLeast"/>
        <w:rPr>
          <w:lang w:val="de-DE"/>
        </w:rPr>
      </w:pPr>
    </w:p>
    <w:p w14:paraId="4DC0E48D" w14:textId="77777777" w:rsidR="00C85CD0" w:rsidRDefault="00C85CD0" w:rsidP="00E86120">
      <w:pPr>
        <w:spacing w:after="0" w:line="300" w:lineRule="atLeast"/>
        <w:rPr>
          <w:lang w:val="de-DE"/>
        </w:rPr>
      </w:pPr>
      <w:r w:rsidRPr="00845AAD">
        <w:rPr>
          <w:lang w:val="de-DE"/>
        </w:rPr>
        <w:t xml:space="preserve">Mehr Informationen finden Sie unter </w:t>
      </w:r>
      <w:hyperlink r:id="rId12" w:history="1">
        <w:r w:rsidR="00B0357E" w:rsidRPr="00FC3CDC">
          <w:rPr>
            <w:rStyle w:val="Hyperlink"/>
            <w:b/>
            <w:lang w:val="de-DE"/>
          </w:rPr>
          <w:t>www.covestro.com</w:t>
        </w:r>
      </w:hyperlink>
      <w:r w:rsidRPr="00845AAD">
        <w:rPr>
          <w:lang w:val="de-DE"/>
        </w:rPr>
        <w:t>.</w:t>
      </w:r>
    </w:p>
    <w:p w14:paraId="58B7A4CC" w14:textId="77777777" w:rsidR="00F37E41" w:rsidRPr="005D4F2B" w:rsidRDefault="00B0357E" w:rsidP="00F37E41">
      <w:pPr>
        <w:spacing w:after="0" w:line="300" w:lineRule="atLeast"/>
        <w:rPr>
          <w:lang w:val="de-DE"/>
        </w:rPr>
      </w:pPr>
      <w:r>
        <w:rPr>
          <w:lang w:val="de-DE"/>
        </w:rPr>
        <w:t xml:space="preserve">Folgen Sie uns auf Twitter: </w:t>
      </w:r>
      <w:hyperlink r:id="rId13" w:history="1">
        <w:r w:rsidRPr="00B0357E">
          <w:rPr>
            <w:rStyle w:val="Hyperlink"/>
            <w:b/>
            <w:lang w:val="de-DE"/>
          </w:rPr>
          <w:t>https://twitter.com/covestro</w:t>
        </w:r>
      </w:hyperlink>
      <w:r>
        <w:rPr>
          <w:lang w:val="de-DE"/>
        </w:rPr>
        <w:t xml:space="preserve"> </w:t>
      </w:r>
      <w:r w:rsidR="00F37E41">
        <w:rPr>
          <w:lang w:val="de-DE"/>
        </w:rPr>
        <w:br/>
        <w:t xml:space="preserve">Lesen Sie auch unseren Blog unter </w:t>
      </w:r>
      <w:hyperlink r:id="rId14" w:history="1">
        <w:r w:rsidR="00F37E41" w:rsidRPr="00B66210">
          <w:rPr>
            <w:rStyle w:val="Hyperlink"/>
            <w:b/>
            <w:lang w:val="de-DE"/>
          </w:rPr>
          <w:t>www.covestro.com/blog</w:t>
        </w:r>
      </w:hyperlink>
      <w:r w:rsidR="00F37E41">
        <w:rPr>
          <w:lang w:val="de-DE"/>
        </w:rPr>
        <w:t xml:space="preserve">. </w:t>
      </w:r>
    </w:p>
    <w:p w14:paraId="10187CED" w14:textId="77777777" w:rsidR="00C412D1" w:rsidRPr="00C412D1" w:rsidRDefault="00C412D1" w:rsidP="00E86120">
      <w:pPr>
        <w:spacing w:after="0" w:line="300" w:lineRule="atLeast"/>
        <w:rPr>
          <w:rFonts w:ascii="Calibri" w:eastAsia="Calibri" w:hAnsi="Calibri" w:cs="Calibri"/>
          <w:noProof w:val="0"/>
          <w:spacing w:val="0"/>
          <w:kern w:val="0"/>
          <w:sz w:val="22"/>
          <w:lang w:val="de-DE" w:eastAsia="en-US"/>
        </w:rPr>
      </w:pPr>
    </w:p>
    <w:p w14:paraId="167D3CD5" w14:textId="77777777" w:rsidR="00064D63" w:rsidRPr="00064D63" w:rsidRDefault="00064D63" w:rsidP="00E86120">
      <w:pPr>
        <w:spacing w:after="0" w:line="300"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5D937BB6" w14:textId="77777777" w:rsidR="008E26C3" w:rsidRPr="00670E26" w:rsidRDefault="008E26C3" w:rsidP="00E86120">
      <w:pPr>
        <w:spacing w:after="0" w:line="300"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7DFDE821" w14:textId="5C76E3A8" w:rsidR="00804E6E" w:rsidRDefault="00804E6E">
      <w:pPr>
        <w:spacing w:after="0" w:line="240" w:lineRule="auto"/>
        <w:rPr>
          <w:rFonts w:cs="Arial"/>
          <w:sz w:val="16"/>
          <w:szCs w:val="16"/>
          <w:lang w:val="de-DE"/>
        </w:rPr>
      </w:pPr>
      <w:r>
        <w:rPr>
          <w:rFonts w:cs="Arial"/>
          <w:sz w:val="16"/>
          <w:szCs w:val="16"/>
          <w:lang w:val="de-DE"/>
        </w:rPr>
        <w:br w:type="page"/>
      </w:r>
    </w:p>
    <w:tbl>
      <w:tblPr>
        <w:tblW w:w="8505" w:type="dxa"/>
        <w:tblInd w:w="-2091" w:type="dxa"/>
        <w:tblLayout w:type="fixed"/>
        <w:tblCellMar>
          <w:left w:w="0" w:type="dxa"/>
          <w:right w:w="0" w:type="dxa"/>
        </w:tblCellMar>
        <w:tblLook w:val="0000" w:firstRow="0" w:lastRow="0" w:firstColumn="0" w:lastColumn="0" w:noHBand="0" w:noVBand="0"/>
        <w:tblCaption w:val="Pressemitteilung "/>
        <w:tblDescription w:val="SNEID_e0a1779c373c41d08b6fcd6736fc0f13"/>
      </w:tblPr>
      <w:tblGrid>
        <w:gridCol w:w="5103"/>
        <w:gridCol w:w="1134"/>
        <w:gridCol w:w="1134"/>
        <w:gridCol w:w="1134"/>
      </w:tblGrid>
      <w:tr w:rsidR="00804E6E" w:rsidRPr="00D41CDD" w14:paraId="0F0B25A6" w14:textId="77777777" w:rsidTr="00804E6E">
        <w:trPr>
          <w:tblHeader/>
        </w:trPr>
        <w:tc>
          <w:tcPr>
            <w:tcW w:w="8505" w:type="dxa"/>
            <w:gridSpan w:val="4"/>
            <w:tcBorders>
              <w:bottom w:val="single" w:sz="8" w:space="0" w:color="009FE4"/>
            </w:tcBorders>
            <w:vAlign w:val="center"/>
          </w:tcPr>
          <w:p w14:paraId="5BBA2430" w14:textId="77777777" w:rsidR="00804E6E" w:rsidRPr="00D41CDD" w:rsidRDefault="00804E6E" w:rsidP="001D192C">
            <w:pPr>
              <w:pStyle w:val="Ttitleblue"/>
              <w:keepNext/>
            </w:pPr>
            <w:bookmarkStart w:id="0" w:name="SNEID_e0a1779c373c41d08b6fcd6736fc0f13"/>
            <w:bookmarkStart w:id="1" w:name="SNAMD_2542b6975e6342749cb580f640cd332a"/>
            <w:proofErr w:type="spellStart"/>
            <w:r w:rsidRPr="00D41CDD">
              <w:rPr>
                <w:b/>
              </w:rPr>
              <w:lastRenderedPageBreak/>
              <w:t>Kennzahlen</w:t>
            </w:r>
            <w:proofErr w:type="spellEnd"/>
            <w:r w:rsidRPr="00D41CDD">
              <w:rPr>
                <w:b/>
              </w:rPr>
              <w:t xml:space="preserve"> Covestro-</w:t>
            </w:r>
            <w:proofErr w:type="spellStart"/>
            <w:r w:rsidRPr="00D41CDD">
              <w:rPr>
                <w:b/>
              </w:rPr>
              <w:t>Konzern</w:t>
            </w:r>
            <w:proofErr w:type="spellEnd"/>
          </w:p>
        </w:tc>
      </w:tr>
      <w:tr w:rsidR="00804E6E" w:rsidRPr="00D41CDD" w14:paraId="48D644C8" w14:textId="77777777" w:rsidTr="00804E6E">
        <w:trPr>
          <w:tblHeader/>
        </w:trPr>
        <w:tc>
          <w:tcPr>
            <w:tcW w:w="5103" w:type="dxa"/>
            <w:tcBorders>
              <w:top w:val="single" w:sz="8" w:space="0" w:color="009FE4"/>
            </w:tcBorders>
            <w:vAlign w:val="bottom"/>
          </w:tcPr>
          <w:p w14:paraId="39B00D79" w14:textId="77777777" w:rsidR="00804E6E" w:rsidRPr="00D41CDD" w:rsidRDefault="00804E6E" w:rsidP="001D192C">
            <w:pPr>
              <w:pStyle w:val="TDummy"/>
              <w:keepNext/>
            </w:pPr>
          </w:p>
        </w:tc>
        <w:tc>
          <w:tcPr>
            <w:tcW w:w="1134" w:type="dxa"/>
            <w:tcBorders>
              <w:top w:val="single" w:sz="8" w:space="0" w:color="009FE4"/>
            </w:tcBorders>
            <w:vAlign w:val="bottom"/>
          </w:tcPr>
          <w:p w14:paraId="3201AF54" w14:textId="77777777" w:rsidR="00804E6E" w:rsidRPr="00D41CDD" w:rsidRDefault="00804E6E" w:rsidP="001D192C">
            <w:pPr>
              <w:pStyle w:val="TDummy"/>
              <w:keepNext/>
            </w:pPr>
          </w:p>
        </w:tc>
        <w:tc>
          <w:tcPr>
            <w:tcW w:w="1134" w:type="dxa"/>
            <w:tcBorders>
              <w:top w:val="single" w:sz="8" w:space="0" w:color="009FE4"/>
            </w:tcBorders>
            <w:vAlign w:val="bottom"/>
          </w:tcPr>
          <w:p w14:paraId="05AFF13A" w14:textId="77777777" w:rsidR="00804E6E" w:rsidRPr="00D41CDD" w:rsidRDefault="00804E6E" w:rsidP="001D192C">
            <w:pPr>
              <w:pStyle w:val="TDummy"/>
              <w:keepNext/>
            </w:pPr>
          </w:p>
        </w:tc>
        <w:tc>
          <w:tcPr>
            <w:tcW w:w="1134" w:type="dxa"/>
            <w:tcBorders>
              <w:top w:val="single" w:sz="8" w:space="0" w:color="009FE4"/>
            </w:tcBorders>
            <w:vAlign w:val="bottom"/>
          </w:tcPr>
          <w:p w14:paraId="49C5EB07" w14:textId="77777777" w:rsidR="00804E6E" w:rsidRPr="00D41CDD" w:rsidRDefault="00804E6E" w:rsidP="001D192C">
            <w:pPr>
              <w:pStyle w:val="TDummy"/>
              <w:keepNext/>
            </w:pPr>
          </w:p>
        </w:tc>
      </w:tr>
      <w:tr w:rsidR="00804E6E" w:rsidRPr="00D41CDD" w14:paraId="6E18117A" w14:textId="77777777" w:rsidTr="00804E6E">
        <w:trPr>
          <w:tblHeader/>
        </w:trPr>
        <w:tc>
          <w:tcPr>
            <w:tcW w:w="5103" w:type="dxa"/>
            <w:tcBorders>
              <w:right w:val="single" w:sz="24" w:space="0" w:color="FFFFFF"/>
            </w:tcBorders>
            <w:vAlign w:val="center"/>
          </w:tcPr>
          <w:p w14:paraId="5F19934E" w14:textId="77777777" w:rsidR="00804E6E" w:rsidRPr="00D41CDD" w:rsidRDefault="00804E6E" w:rsidP="001D192C">
            <w:pPr>
              <w:pStyle w:val="Tfirsttext"/>
              <w:keepNext/>
            </w:pPr>
          </w:p>
        </w:tc>
        <w:tc>
          <w:tcPr>
            <w:tcW w:w="1134" w:type="dxa"/>
            <w:tcBorders>
              <w:left w:val="single" w:sz="24" w:space="0" w:color="FFFFFF"/>
              <w:bottom w:val="single" w:sz="2" w:space="0" w:color="000000"/>
              <w:right w:val="single" w:sz="24" w:space="0" w:color="FFFFFF"/>
            </w:tcBorders>
            <w:vAlign w:val="bottom"/>
          </w:tcPr>
          <w:p w14:paraId="733511B1" w14:textId="77777777" w:rsidR="00804E6E" w:rsidRPr="00D41CDD" w:rsidRDefault="00804E6E" w:rsidP="001D192C">
            <w:pPr>
              <w:pStyle w:val="Tfirstnumber"/>
              <w:keepNext/>
            </w:pPr>
            <w:r w:rsidRPr="00D41CDD">
              <w:t>1. Quartal 2021</w:t>
            </w:r>
          </w:p>
        </w:tc>
        <w:tc>
          <w:tcPr>
            <w:tcW w:w="1134" w:type="dxa"/>
            <w:tcBorders>
              <w:left w:val="single" w:sz="24" w:space="0" w:color="FFFFFF"/>
              <w:bottom w:val="single" w:sz="2" w:space="0" w:color="000000"/>
              <w:right w:val="single" w:sz="24" w:space="0" w:color="FFFFFF"/>
            </w:tcBorders>
            <w:shd w:val="clear" w:color="000000" w:fill="D9F1FB"/>
            <w:vAlign w:val="bottom"/>
          </w:tcPr>
          <w:p w14:paraId="55F4A4E4" w14:textId="77777777" w:rsidR="00804E6E" w:rsidRPr="00D41CDD" w:rsidRDefault="00804E6E" w:rsidP="001D192C">
            <w:pPr>
              <w:pStyle w:val="Tfirstnumber"/>
              <w:keepNext/>
            </w:pPr>
            <w:r w:rsidRPr="00D41CDD">
              <w:t>1. Quartal 2022</w:t>
            </w:r>
          </w:p>
        </w:tc>
        <w:tc>
          <w:tcPr>
            <w:tcW w:w="1134" w:type="dxa"/>
            <w:tcBorders>
              <w:left w:val="single" w:sz="24" w:space="0" w:color="FFFFFF"/>
              <w:bottom w:val="single" w:sz="2" w:space="0" w:color="000000"/>
            </w:tcBorders>
            <w:vAlign w:val="bottom"/>
          </w:tcPr>
          <w:p w14:paraId="2566A6C1" w14:textId="77777777" w:rsidR="00804E6E" w:rsidRPr="00D41CDD" w:rsidRDefault="00804E6E" w:rsidP="001D192C">
            <w:pPr>
              <w:pStyle w:val="Tfirstnumber"/>
              <w:keepNext/>
            </w:pPr>
            <w:proofErr w:type="spellStart"/>
            <w:r w:rsidRPr="00D41CDD">
              <w:t>Veränderung</w:t>
            </w:r>
            <w:proofErr w:type="spellEnd"/>
          </w:p>
        </w:tc>
      </w:tr>
      <w:tr w:rsidR="00804E6E" w:rsidRPr="00D41CDD" w14:paraId="2A434E30" w14:textId="77777777" w:rsidTr="00804E6E">
        <w:trPr>
          <w:tblHeader/>
        </w:trPr>
        <w:tc>
          <w:tcPr>
            <w:tcW w:w="5103" w:type="dxa"/>
            <w:tcBorders>
              <w:bottom w:val="single" w:sz="2" w:space="0" w:color="000000"/>
              <w:right w:val="single" w:sz="24" w:space="0" w:color="FFFFFF"/>
            </w:tcBorders>
            <w:vAlign w:val="center"/>
          </w:tcPr>
          <w:p w14:paraId="2C636D95" w14:textId="77777777" w:rsidR="00804E6E" w:rsidRPr="00D41CDD" w:rsidRDefault="00804E6E" w:rsidP="001D192C">
            <w:pPr>
              <w:pStyle w:val="Tlasttext"/>
              <w:keepNext/>
            </w:pPr>
          </w:p>
        </w:tc>
        <w:tc>
          <w:tcPr>
            <w:tcW w:w="1134" w:type="dxa"/>
            <w:tcBorders>
              <w:top w:val="single" w:sz="2" w:space="0" w:color="000000"/>
              <w:left w:val="single" w:sz="24" w:space="0" w:color="FFFFFF"/>
              <w:bottom w:val="single" w:sz="2" w:space="0" w:color="000000"/>
              <w:right w:val="single" w:sz="24" w:space="0" w:color="FFFFFF"/>
            </w:tcBorders>
            <w:vAlign w:val="center"/>
          </w:tcPr>
          <w:p w14:paraId="7D6FB522" w14:textId="77777777" w:rsidR="00804E6E" w:rsidRPr="00D41CDD" w:rsidRDefault="00804E6E" w:rsidP="001D192C">
            <w:pPr>
              <w:pStyle w:val="Tlastnumber"/>
              <w:keepNext/>
            </w:pPr>
            <w:r w:rsidRPr="00D41CDD">
              <w:t>in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center"/>
          </w:tcPr>
          <w:p w14:paraId="4184C88C" w14:textId="77777777" w:rsidR="00804E6E" w:rsidRPr="00D41CDD" w:rsidRDefault="00804E6E" w:rsidP="001D192C">
            <w:pPr>
              <w:pStyle w:val="Tlastnumber"/>
              <w:keepNext/>
            </w:pPr>
            <w:r w:rsidRPr="00D41CDD">
              <w:t>in Mio. €</w:t>
            </w:r>
          </w:p>
        </w:tc>
        <w:tc>
          <w:tcPr>
            <w:tcW w:w="1134" w:type="dxa"/>
            <w:tcBorders>
              <w:top w:val="single" w:sz="2" w:space="0" w:color="000000"/>
              <w:left w:val="single" w:sz="24" w:space="0" w:color="FFFFFF"/>
              <w:bottom w:val="single" w:sz="2" w:space="0" w:color="000000"/>
            </w:tcBorders>
            <w:vAlign w:val="center"/>
          </w:tcPr>
          <w:p w14:paraId="1E0E6B9E" w14:textId="77777777" w:rsidR="00804E6E" w:rsidRPr="00D41CDD" w:rsidRDefault="00804E6E" w:rsidP="001D192C">
            <w:pPr>
              <w:pStyle w:val="Tlastnumber"/>
              <w:keepNext/>
            </w:pPr>
            <w:r w:rsidRPr="00D41CDD">
              <w:t>in %</w:t>
            </w:r>
          </w:p>
        </w:tc>
      </w:tr>
      <w:tr w:rsidR="00804E6E" w:rsidRPr="00D41CDD" w14:paraId="2F156262" w14:textId="77777777" w:rsidTr="00804E6E">
        <w:tc>
          <w:tcPr>
            <w:tcW w:w="5103" w:type="dxa"/>
            <w:tcBorders>
              <w:top w:val="single" w:sz="2" w:space="0" w:color="000000"/>
              <w:bottom w:val="single" w:sz="2" w:space="0" w:color="000000"/>
              <w:right w:val="single" w:sz="24" w:space="0" w:color="FFFFFF"/>
            </w:tcBorders>
            <w:shd w:val="clear" w:color="000000" w:fill="80CFF2"/>
          </w:tcPr>
          <w:p w14:paraId="731B4D58" w14:textId="77777777" w:rsidR="00804E6E" w:rsidRPr="00D41CDD" w:rsidRDefault="00804E6E" w:rsidP="001D192C">
            <w:pPr>
              <w:pStyle w:val="Ttextbold"/>
              <w:keepNext/>
            </w:pPr>
            <w:r w:rsidRPr="00D41CDD">
              <w:t>Covestro-</w:t>
            </w:r>
            <w:proofErr w:type="spellStart"/>
            <w:r w:rsidRPr="00D41CDD">
              <w:t>Konzern</w:t>
            </w:r>
            <w:proofErr w:type="spellEnd"/>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797314DD" w14:textId="77777777" w:rsidR="00804E6E" w:rsidRPr="00D41CDD" w:rsidRDefault="00804E6E" w:rsidP="001D192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4EF451B4" w14:textId="77777777" w:rsidR="00804E6E" w:rsidRPr="00D41CDD" w:rsidRDefault="00804E6E" w:rsidP="001D192C">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0DEF4421" w14:textId="77777777" w:rsidR="00804E6E" w:rsidRPr="00D41CDD" w:rsidRDefault="00804E6E" w:rsidP="001D192C">
            <w:pPr>
              <w:pStyle w:val="Tnumberbold"/>
              <w:keepNext/>
            </w:pPr>
          </w:p>
        </w:tc>
      </w:tr>
      <w:tr w:rsidR="00804E6E" w:rsidRPr="00D41CDD" w14:paraId="4F3E460A" w14:textId="77777777" w:rsidTr="00804E6E">
        <w:tc>
          <w:tcPr>
            <w:tcW w:w="5103" w:type="dxa"/>
            <w:tcBorders>
              <w:top w:val="single" w:sz="2" w:space="0" w:color="000000"/>
              <w:bottom w:val="single" w:sz="2" w:space="0" w:color="000000"/>
              <w:right w:val="single" w:sz="24" w:space="0" w:color="FFFFFF"/>
            </w:tcBorders>
          </w:tcPr>
          <w:p w14:paraId="626C0C83" w14:textId="77777777" w:rsidR="00804E6E" w:rsidRPr="00D41CDD" w:rsidRDefault="00804E6E" w:rsidP="001D192C">
            <w:pPr>
              <w:pStyle w:val="Ttext"/>
              <w:keepNext/>
            </w:pPr>
            <w:proofErr w:type="spellStart"/>
            <w:r w:rsidRPr="00D41CDD">
              <w:t>Umsatzerlöse</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6628DF4B" w14:textId="77777777" w:rsidR="00804E6E" w:rsidRPr="00D41CDD" w:rsidRDefault="00804E6E" w:rsidP="001D192C">
            <w:pPr>
              <w:pStyle w:val="Tnumber"/>
              <w:keepNext/>
            </w:pPr>
            <w:r w:rsidRPr="00D41CDD">
              <w:t>3.307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90B3B0E" w14:textId="77777777" w:rsidR="00804E6E" w:rsidRPr="00D41CDD" w:rsidRDefault="00804E6E" w:rsidP="001D192C">
            <w:pPr>
              <w:pStyle w:val="Tnumber"/>
              <w:keepNext/>
            </w:pPr>
            <w:r w:rsidRPr="00D41CDD">
              <w:t>4.683</w:t>
            </w:r>
          </w:p>
        </w:tc>
        <w:tc>
          <w:tcPr>
            <w:tcW w:w="1134" w:type="dxa"/>
            <w:tcBorders>
              <w:top w:val="single" w:sz="2" w:space="0" w:color="000000"/>
              <w:left w:val="single" w:sz="24" w:space="0" w:color="FFFFFF"/>
              <w:bottom w:val="single" w:sz="2" w:space="0" w:color="000000"/>
            </w:tcBorders>
          </w:tcPr>
          <w:p w14:paraId="4EE556C3" w14:textId="77777777" w:rsidR="00804E6E" w:rsidRPr="00D41CDD" w:rsidRDefault="00804E6E" w:rsidP="001D192C">
            <w:pPr>
              <w:pStyle w:val="Tnumber"/>
              <w:keepNext/>
            </w:pPr>
            <w:r w:rsidRPr="00D41CDD">
              <w:t>41,6</w:t>
            </w:r>
          </w:p>
        </w:tc>
      </w:tr>
      <w:tr w:rsidR="00804E6E" w:rsidRPr="00D41CDD" w14:paraId="58DD111E" w14:textId="77777777" w:rsidTr="00804E6E">
        <w:tc>
          <w:tcPr>
            <w:tcW w:w="5103" w:type="dxa"/>
            <w:tcBorders>
              <w:top w:val="single" w:sz="2" w:space="0" w:color="000000"/>
              <w:bottom w:val="single" w:sz="2" w:space="0" w:color="000000"/>
              <w:right w:val="single" w:sz="24" w:space="0" w:color="FFFFFF"/>
            </w:tcBorders>
          </w:tcPr>
          <w:p w14:paraId="2311C740" w14:textId="77777777" w:rsidR="00804E6E" w:rsidRPr="00D41CDD" w:rsidRDefault="00804E6E" w:rsidP="001D192C">
            <w:pPr>
              <w:pStyle w:val="Ttext"/>
              <w:keepNext/>
            </w:pPr>
            <w:proofErr w:type="spellStart"/>
            <w:r w:rsidRPr="00D41CDD">
              <w:t>Umsatzveränderung</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7C159F03" w14:textId="77777777" w:rsidR="00804E6E" w:rsidRPr="00D41CDD" w:rsidRDefault="00804E6E" w:rsidP="001D192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4824234" w14:textId="77777777" w:rsidR="00804E6E" w:rsidRPr="00D41CDD" w:rsidRDefault="00804E6E" w:rsidP="001D192C">
            <w:pPr>
              <w:pStyle w:val="Tnumber"/>
              <w:keepNext/>
            </w:pPr>
          </w:p>
        </w:tc>
        <w:tc>
          <w:tcPr>
            <w:tcW w:w="1134" w:type="dxa"/>
            <w:tcBorders>
              <w:top w:val="single" w:sz="2" w:space="0" w:color="000000"/>
              <w:left w:val="single" w:sz="24" w:space="0" w:color="FFFFFF"/>
              <w:bottom w:val="single" w:sz="2" w:space="0" w:color="000000"/>
            </w:tcBorders>
          </w:tcPr>
          <w:p w14:paraId="7432B881" w14:textId="77777777" w:rsidR="00804E6E" w:rsidRPr="00D41CDD" w:rsidRDefault="00804E6E" w:rsidP="001D192C">
            <w:pPr>
              <w:pStyle w:val="Tnumber"/>
              <w:keepNext/>
            </w:pPr>
          </w:p>
        </w:tc>
      </w:tr>
      <w:tr w:rsidR="00804E6E" w:rsidRPr="00D41CDD" w14:paraId="12075C62" w14:textId="77777777" w:rsidTr="00804E6E">
        <w:tc>
          <w:tcPr>
            <w:tcW w:w="5103" w:type="dxa"/>
            <w:tcBorders>
              <w:top w:val="single" w:sz="2" w:space="0" w:color="000000"/>
              <w:bottom w:val="single" w:sz="2" w:space="0" w:color="000000"/>
              <w:right w:val="single" w:sz="24" w:space="0" w:color="FFFFFF"/>
            </w:tcBorders>
          </w:tcPr>
          <w:p w14:paraId="33E6873D" w14:textId="77777777" w:rsidR="00804E6E" w:rsidRPr="00D41CDD" w:rsidRDefault="00804E6E" w:rsidP="001D192C">
            <w:pPr>
              <w:pStyle w:val="Ttextindent1"/>
              <w:keepNext/>
            </w:pPr>
            <w:proofErr w:type="spellStart"/>
            <w:r w:rsidRPr="00D41CDD">
              <w:t>Menge</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2DDEF2BF" w14:textId="77777777" w:rsidR="00804E6E" w:rsidRPr="00D41CDD" w:rsidRDefault="00804E6E" w:rsidP="001D192C">
            <w:pPr>
              <w:pStyle w:val="Tnumber"/>
              <w:keepNext/>
            </w:pPr>
            <w:r w:rsidRPr="00D41CDD">
              <w:t>3,4 %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D135D15" w14:textId="77777777" w:rsidR="00804E6E" w:rsidRPr="00D41CDD" w:rsidRDefault="00804E6E" w:rsidP="001D192C">
            <w:pPr>
              <w:pStyle w:val="Tnumber"/>
              <w:keepNext/>
            </w:pPr>
            <w:r w:rsidRPr="00D41CDD">
              <w:t>3,6 %</w:t>
            </w:r>
          </w:p>
        </w:tc>
        <w:tc>
          <w:tcPr>
            <w:tcW w:w="1134" w:type="dxa"/>
            <w:tcBorders>
              <w:top w:val="single" w:sz="2" w:space="0" w:color="000000"/>
              <w:left w:val="single" w:sz="24" w:space="0" w:color="FFFFFF"/>
              <w:bottom w:val="single" w:sz="2" w:space="0" w:color="000000"/>
            </w:tcBorders>
          </w:tcPr>
          <w:p w14:paraId="4AE6C459" w14:textId="77777777" w:rsidR="00804E6E" w:rsidRPr="00D41CDD" w:rsidRDefault="00804E6E" w:rsidP="001D192C">
            <w:pPr>
              <w:pStyle w:val="Tnumber"/>
              <w:keepNext/>
            </w:pPr>
          </w:p>
        </w:tc>
      </w:tr>
      <w:tr w:rsidR="00804E6E" w:rsidRPr="00D41CDD" w14:paraId="5420D378" w14:textId="77777777" w:rsidTr="00804E6E">
        <w:tc>
          <w:tcPr>
            <w:tcW w:w="5103" w:type="dxa"/>
            <w:tcBorders>
              <w:top w:val="single" w:sz="2" w:space="0" w:color="000000"/>
              <w:bottom w:val="single" w:sz="2" w:space="0" w:color="000000"/>
              <w:right w:val="single" w:sz="24" w:space="0" w:color="FFFFFF"/>
            </w:tcBorders>
          </w:tcPr>
          <w:p w14:paraId="3F6FCB1B" w14:textId="77777777" w:rsidR="00804E6E" w:rsidRPr="00D41CDD" w:rsidRDefault="00804E6E" w:rsidP="001D192C">
            <w:pPr>
              <w:pStyle w:val="Ttextindent1"/>
              <w:keepNext/>
            </w:pPr>
            <w:r w:rsidRPr="00D41CDD">
              <w:t>Preis</w:t>
            </w:r>
          </w:p>
        </w:tc>
        <w:tc>
          <w:tcPr>
            <w:tcW w:w="1134" w:type="dxa"/>
            <w:tcBorders>
              <w:top w:val="single" w:sz="2" w:space="0" w:color="000000"/>
              <w:left w:val="single" w:sz="24" w:space="0" w:color="FFFFFF"/>
              <w:bottom w:val="single" w:sz="2" w:space="0" w:color="000000"/>
              <w:right w:val="single" w:sz="24" w:space="0" w:color="FFFFFF"/>
            </w:tcBorders>
          </w:tcPr>
          <w:p w14:paraId="3ECFAACB" w14:textId="77777777" w:rsidR="00804E6E" w:rsidRPr="00D41CDD" w:rsidRDefault="00804E6E" w:rsidP="001D192C">
            <w:pPr>
              <w:pStyle w:val="Tnumber"/>
              <w:keepNext/>
            </w:pPr>
            <w:r w:rsidRPr="00D41CDD">
              <w:t>20,2 %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FD7FB5F" w14:textId="77777777" w:rsidR="00804E6E" w:rsidRPr="00D41CDD" w:rsidRDefault="00804E6E" w:rsidP="001D192C">
            <w:pPr>
              <w:pStyle w:val="Tnumber"/>
              <w:keepNext/>
            </w:pPr>
            <w:r w:rsidRPr="00D41CDD">
              <w:t>22,9 %</w:t>
            </w:r>
          </w:p>
        </w:tc>
        <w:tc>
          <w:tcPr>
            <w:tcW w:w="1134" w:type="dxa"/>
            <w:tcBorders>
              <w:top w:val="single" w:sz="2" w:space="0" w:color="000000"/>
              <w:left w:val="single" w:sz="24" w:space="0" w:color="FFFFFF"/>
              <w:bottom w:val="single" w:sz="2" w:space="0" w:color="000000"/>
            </w:tcBorders>
          </w:tcPr>
          <w:p w14:paraId="5BD34C3E" w14:textId="77777777" w:rsidR="00804E6E" w:rsidRPr="00D41CDD" w:rsidRDefault="00804E6E" w:rsidP="001D192C">
            <w:pPr>
              <w:pStyle w:val="Tnumber"/>
              <w:keepNext/>
            </w:pPr>
          </w:p>
        </w:tc>
      </w:tr>
      <w:tr w:rsidR="00804E6E" w:rsidRPr="00D41CDD" w14:paraId="4704FC3F" w14:textId="77777777" w:rsidTr="00804E6E">
        <w:tc>
          <w:tcPr>
            <w:tcW w:w="5103" w:type="dxa"/>
            <w:tcBorders>
              <w:top w:val="single" w:sz="2" w:space="0" w:color="000000"/>
              <w:bottom w:val="single" w:sz="2" w:space="0" w:color="000000"/>
              <w:right w:val="single" w:sz="24" w:space="0" w:color="FFFFFF"/>
            </w:tcBorders>
          </w:tcPr>
          <w:p w14:paraId="0A5D807C" w14:textId="77777777" w:rsidR="00804E6E" w:rsidRPr="00D41CDD" w:rsidRDefault="00804E6E" w:rsidP="001D192C">
            <w:pPr>
              <w:pStyle w:val="Ttextindent1"/>
              <w:keepNext/>
            </w:pPr>
            <w:proofErr w:type="spellStart"/>
            <w:r w:rsidRPr="00D41CDD">
              <w:t>Währung</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4016B903" w14:textId="77777777" w:rsidR="00804E6E" w:rsidRPr="00D41CDD" w:rsidRDefault="00804E6E" w:rsidP="001D192C">
            <w:pPr>
              <w:pStyle w:val="Tnumber"/>
              <w:keepNext/>
            </w:pPr>
            <w:r w:rsidRPr="00D41CDD">
              <w:t>– 4,8 %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2C4891F" w14:textId="77777777" w:rsidR="00804E6E" w:rsidRPr="00D41CDD" w:rsidRDefault="00804E6E" w:rsidP="001D192C">
            <w:pPr>
              <w:pStyle w:val="Tnumber"/>
              <w:keepNext/>
            </w:pPr>
            <w:r w:rsidRPr="00D41CDD">
              <w:t>5,6 %</w:t>
            </w:r>
          </w:p>
        </w:tc>
        <w:tc>
          <w:tcPr>
            <w:tcW w:w="1134" w:type="dxa"/>
            <w:tcBorders>
              <w:top w:val="single" w:sz="2" w:space="0" w:color="000000"/>
              <w:left w:val="single" w:sz="24" w:space="0" w:color="FFFFFF"/>
              <w:bottom w:val="single" w:sz="2" w:space="0" w:color="000000"/>
            </w:tcBorders>
          </w:tcPr>
          <w:p w14:paraId="08CD4CB9" w14:textId="77777777" w:rsidR="00804E6E" w:rsidRPr="00D41CDD" w:rsidRDefault="00804E6E" w:rsidP="001D192C">
            <w:pPr>
              <w:pStyle w:val="Tnumber"/>
              <w:keepNext/>
            </w:pPr>
          </w:p>
        </w:tc>
      </w:tr>
      <w:tr w:rsidR="00804E6E" w:rsidRPr="00D41CDD" w14:paraId="3308208C" w14:textId="77777777" w:rsidTr="00804E6E">
        <w:tc>
          <w:tcPr>
            <w:tcW w:w="5103" w:type="dxa"/>
            <w:tcBorders>
              <w:top w:val="single" w:sz="2" w:space="0" w:color="000000"/>
              <w:bottom w:val="single" w:sz="2" w:space="0" w:color="000000"/>
              <w:right w:val="single" w:sz="24" w:space="0" w:color="FFFFFF"/>
            </w:tcBorders>
          </w:tcPr>
          <w:p w14:paraId="254DC8B7" w14:textId="77777777" w:rsidR="00804E6E" w:rsidRPr="00D41CDD" w:rsidRDefault="00804E6E" w:rsidP="001D192C">
            <w:pPr>
              <w:pStyle w:val="Ttextindent1"/>
              <w:keepNext/>
            </w:pPr>
            <w:r w:rsidRPr="00D41CDD">
              <w:t>Portfolio</w:t>
            </w:r>
          </w:p>
        </w:tc>
        <w:tc>
          <w:tcPr>
            <w:tcW w:w="1134" w:type="dxa"/>
            <w:tcBorders>
              <w:top w:val="single" w:sz="2" w:space="0" w:color="000000"/>
              <w:left w:val="single" w:sz="24" w:space="0" w:color="FFFFFF"/>
              <w:bottom w:val="single" w:sz="2" w:space="0" w:color="000000"/>
              <w:right w:val="single" w:sz="24" w:space="0" w:color="FFFFFF"/>
            </w:tcBorders>
          </w:tcPr>
          <w:p w14:paraId="3419E76D" w14:textId="77777777" w:rsidR="00804E6E" w:rsidRPr="00D41CDD" w:rsidRDefault="00804E6E" w:rsidP="001D192C">
            <w:pPr>
              <w:pStyle w:val="Tnumber"/>
              <w:keepNext/>
            </w:pPr>
            <w:r w:rsidRPr="00D41CDD">
              <w:t>0,0 %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0D01D5B" w14:textId="77777777" w:rsidR="00804E6E" w:rsidRPr="00D41CDD" w:rsidRDefault="00804E6E" w:rsidP="001D192C">
            <w:pPr>
              <w:pStyle w:val="Tnumber"/>
              <w:keepNext/>
            </w:pPr>
            <w:r w:rsidRPr="00D41CDD">
              <w:t>9,5 %</w:t>
            </w:r>
          </w:p>
        </w:tc>
        <w:tc>
          <w:tcPr>
            <w:tcW w:w="1134" w:type="dxa"/>
            <w:tcBorders>
              <w:top w:val="single" w:sz="2" w:space="0" w:color="000000"/>
              <w:left w:val="single" w:sz="24" w:space="0" w:color="FFFFFF"/>
              <w:bottom w:val="single" w:sz="2" w:space="0" w:color="000000"/>
            </w:tcBorders>
          </w:tcPr>
          <w:p w14:paraId="2B032751" w14:textId="77777777" w:rsidR="00804E6E" w:rsidRPr="00D41CDD" w:rsidRDefault="00804E6E" w:rsidP="001D192C">
            <w:pPr>
              <w:pStyle w:val="Tnumber"/>
              <w:keepNext/>
            </w:pPr>
          </w:p>
        </w:tc>
      </w:tr>
      <w:tr w:rsidR="00804E6E" w:rsidRPr="00D41CDD" w14:paraId="1A912078" w14:textId="77777777" w:rsidTr="00804E6E">
        <w:tc>
          <w:tcPr>
            <w:tcW w:w="5103" w:type="dxa"/>
            <w:tcBorders>
              <w:top w:val="single" w:sz="2" w:space="0" w:color="000000"/>
              <w:bottom w:val="single" w:sz="2" w:space="0" w:color="000000"/>
              <w:right w:val="single" w:sz="24" w:space="0" w:color="FFFFFF"/>
            </w:tcBorders>
          </w:tcPr>
          <w:p w14:paraId="59D577B2" w14:textId="77777777" w:rsidR="00804E6E" w:rsidRPr="00D41CDD" w:rsidRDefault="00804E6E" w:rsidP="001D192C">
            <w:pPr>
              <w:pStyle w:val="Ttext"/>
              <w:keepNext/>
            </w:pPr>
            <w:r w:rsidRPr="00D41CDD">
              <w:t>EBITDA</w:t>
            </w:r>
          </w:p>
        </w:tc>
        <w:tc>
          <w:tcPr>
            <w:tcW w:w="1134" w:type="dxa"/>
            <w:tcBorders>
              <w:top w:val="single" w:sz="2" w:space="0" w:color="000000"/>
              <w:left w:val="single" w:sz="24" w:space="0" w:color="FFFFFF"/>
              <w:bottom w:val="single" w:sz="2" w:space="0" w:color="000000"/>
              <w:right w:val="single" w:sz="24" w:space="0" w:color="FFFFFF"/>
            </w:tcBorders>
          </w:tcPr>
          <w:p w14:paraId="6D5DC386" w14:textId="77777777" w:rsidR="00804E6E" w:rsidRPr="00D41CDD" w:rsidRDefault="00804E6E" w:rsidP="001D192C">
            <w:pPr>
              <w:pStyle w:val="Tnumber"/>
              <w:keepNext/>
            </w:pPr>
            <w:r w:rsidRPr="00D41CDD">
              <w:t>743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122E00B" w14:textId="77777777" w:rsidR="00804E6E" w:rsidRPr="00D41CDD" w:rsidRDefault="00804E6E" w:rsidP="001D192C">
            <w:pPr>
              <w:pStyle w:val="Tnumber"/>
              <w:keepNext/>
            </w:pPr>
            <w:r w:rsidRPr="00D41CDD">
              <w:t>806</w:t>
            </w:r>
          </w:p>
        </w:tc>
        <w:tc>
          <w:tcPr>
            <w:tcW w:w="1134" w:type="dxa"/>
            <w:tcBorders>
              <w:top w:val="single" w:sz="2" w:space="0" w:color="000000"/>
              <w:left w:val="single" w:sz="24" w:space="0" w:color="FFFFFF"/>
              <w:bottom w:val="single" w:sz="2" w:space="0" w:color="000000"/>
            </w:tcBorders>
          </w:tcPr>
          <w:p w14:paraId="71F9E347" w14:textId="77777777" w:rsidR="00804E6E" w:rsidRPr="00D41CDD" w:rsidRDefault="00804E6E" w:rsidP="001D192C">
            <w:pPr>
              <w:pStyle w:val="Tnumber"/>
              <w:keepNext/>
            </w:pPr>
            <w:r w:rsidRPr="00D41CDD">
              <w:t>8,5</w:t>
            </w:r>
          </w:p>
        </w:tc>
      </w:tr>
      <w:tr w:rsidR="00804E6E" w:rsidRPr="00D41CDD" w14:paraId="43004B40" w14:textId="77777777" w:rsidTr="00804E6E">
        <w:tc>
          <w:tcPr>
            <w:tcW w:w="5103" w:type="dxa"/>
            <w:tcBorders>
              <w:top w:val="single" w:sz="2" w:space="0" w:color="000000"/>
              <w:bottom w:val="single" w:sz="2" w:space="0" w:color="000000"/>
              <w:right w:val="single" w:sz="24" w:space="0" w:color="FFFFFF"/>
            </w:tcBorders>
          </w:tcPr>
          <w:p w14:paraId="4C9750DE" w14:textId="77777777" w:rsidR="00804E6E" w:rsidRPr="00D41CDD" w:rsidRDefault="00804E6E" w:rsidP="001D192C">
            <w:pPr>
              <w:pStyle w:val="Ttext"/>
              <w:keepNext/>
            </w:pPr>
            <w:r w:rsidRPr="00D41CDD">
              <w:t>EBIT</w:t>
            </w:r>
          </w:p>
        </w:tc>
        <w:tc>
          <w:tcPr>
            <w:tcW w:w="1134" w:type="dxa"/>
            <w:tcBorders>
              <w:top w:val="single" w:sz="2" w:space="0" w:color="000000"/>
              <w:left w:val="single" w:sz="24" w:space="0" w:color="FFFFFF"/>
              <w:bottom w:val="single" w:sz="2" w:space="0" w:color="000000"/>
              <w:right w:val="single" w:sz="24" w:space="0" w:color="FFFFFF"/>
            </w:tcBorders>
          </w:tcPr>
          <w:p w14:paraId="6406341B" w14:textId="77777777" w:rsidR="00804E6E" w:rsidRPr="00D41CDD" w:rsidRDefault="00804E6E" w:rsidP="001D192C">
            <w:pPr>
              <w:pStyle w:val="Tnumber"/>
              <w:keepNext/>
            </w:pPr>
            <w:r w:rsidRPr="00D41CDD">
              <w:t>556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D09D962" w14:textId="77777777" w:rsidR="00804E6E" w:rsidRPr="00D41CDD" w:rsidRDefault="00804E6E" w:rsidP="001D192C">
            <w:pPr>
              <w:pStyle w:val="Tnumber"/>
              <w:keepNext/>
            </w:pPr>
            <w:r w:rsidRPr="00D41CDD">
              <w:t>589</w:t>
            </w:r>
          </w:p>
        </w:tc>
        <w:tc>
          <w:tcPr>
            <w:tcW w:w="1134" w:type="dxa"/>
            <w:tcBorders>
              <w:top w:val="single" w:sz="2" w:space="0" w:color="000000"/>
              <w:left w:val="single" w:sz="24" w:space="0" w:color="FFFFFF"/>
              <w:bottom w:val="single" w:sz="2" w:space="0" w:color="000000"/>
            </w:tcBorders>
          </w:tcPr>
          <w:p w14:paraId="5DE55BD1" w14:textId="77777777" w:rsidR="00804E6E" w:rsidRPr="00D41CDD" w:rsidRDefault="00804E6E" w:rsidP="001D192C">
            <w:pPr>
              <w:pStyle w:val="Tnumber"/>
              <w:keepNext/>
            </w:pPr>
            <w:r w:rsidRPr="00D41CDD">
              <w:t>5,9</w:t>
            </w:r>
          </w:p>
        </w:tc>
      </w:tr>
      <w:tr w:rsidR="00804E6E" w:rsidRPr="00D41CDD" w14:paraId="6B1A35C3" w14:textId="77777777" w:rsidTr="00804E6E">
        <w:tc>
          <w:tcPr>
            <w:tcW w:w="5103" w:type="dxa"/>
            <w:tcBorders>
              <w:top w:val="single" w:sz="2" w:space="0" w:color="000000"/>
              <w:bottom w:val="single" w:sz="2" w:space="0" w:color="000000"/>
              <w:right w:val="single" w:sz="24" w:space="0" w:color="FFFFFF"/>
            </w:tcBorders>
          </w:tcPr>
          <w:p w14:paraId="7D53A66B" w14:textId="77777777" w:rsidR="00804E6E" w:rsidRPr="00D41CDD" w:rsidRDefault="00804E6E" w:rsidP="001D192C">
            <w:pPr>
              <w:pStyle w:val="Ttext"/>
              <w:keepNext/>
            </w:pPr>
            <w:proofErr w:type="spellStart"/>
            <w:r w:rsidRPr="00D41CDD">
              <w:t>Konzernergebnis</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0D2464B7" w14:textId="77777777" w:rsidR="00804E6E" w:rsidRPr="00D41CDD" w:rsidRDefault="00804E6E" w:rsidP="001D192C">
            <w:pPr>
              <w:pStyle w:val="Tnumber"/>
              <w:keepNext/>
            </w:pPr>
            <w:r w:rsidRPr="00D41CDD">
              <w:t>393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8386E1D" w14:textId="77777777" w:rsidR="00804E6E" w:rsidRPr="00D41CDD" w:rsidRDefault="00804E6E" w:rsidP="001D192C">
            <w:pPr>
              <w:pStyle w:val="Tnumber"/>
              <w:keepNext/>
            </w:pPr>
            <w:r w:rsidRPr="00D41CDD">
              <w:t>416</w:t>
            </w:r>
          </w:p>
        </w:tc>
        <w:tc>
          <w:tcPr>
            <w:tcW w:w="1134" w:type="dxa"/>
            <w:tcBorders>
              <w:top w:val="single" w:sz="2" w:space="0" w:color="000000"/>
              <w:left w:val="single" w:sz="24" w:space="0" w:color="FFFFFF"/>
              <w:bottom w:val="single" w:sz="2" w:space="0" w:color="000000"/>
            </w:tcBorders>
          </w:tcPr>
          <w:p w14:paraId="37E519C4" w14:textId="77777777" w:rsidR="00804E6E" w:rsidRPr="00D41CDD" w:rsidRDefault="00804E6E" w:rsidP="001D192C">
            <w:pPr>
              <w:pStyle w:val="Tnumber"/>
              <w:keepNext/>
            </w:pPr>
            <w:r w:rsidRPr="00D41CDD">
              <w:t>5,9</w:t>
            </w:r>
          </w:p>
        </w:tc>
      </w:tr>
      <w:tr w:rsidR="00804E6E" w:rsidRPr="00D41CDD" w14:paraId="11AC3BE9" w14:textId="77777777" w:rsidTr="00804E6E">
        <w:tc>
          <w:tcPr>
            <w:tcW w:w="5103" w:type="dxa"/>
            <w:tcBorders>
              <w:top w:val="single" w:sz="2" w:space="0" w:color="000000"/>
              <w:bottom w:val="single" w:sz="2" w:space="0" w:color="000000"/>
              <w:right w:val="single" w:sz="24" w:space="0" w:color="FFFFFF"/>
            </w:tcBorders>
          </w:tcPr>
          <w:p w14:paraId="678D7791" w14:textId="77777777" w:rsidR="00804E6E" w:rsidRPr="00D41CDD" w:rsidRDefault="00804E6E" w:rsidP="001D192C">
            <w:pPr>
              <w:pStyle w:val="Ttext"/>
              <w:keepNext/>
            </w:pPr>
            <w:r w:rsidRPr="00D41CDD">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3930EE16" w14:textId="77777777" w:rsidR="00804E6E" w:rsidRPr="00D41CDD" w:rsidRDefault="00804E6E" w:rsidP="001D192C">
            <w:pPr>
              <w:pStyle w:val="Tnumber"/>
              <w:keepNext/>
            </w:pPr>
            <w:r w:rsidRPr="00D41CDD">
              <w:t>318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52A97DD" w14:textId="77777777" w:rsidR="00804E6E" w:rsidRPr="00D41CDD" w:rsidRDefault="00804E6E" w:rsidP="001D192C">
            <w:pPr>
              <w:pStyle w:val="Tnumber"/>
              <w:keepNext/>
            </w:pPr>
            <w:r w:rsidRPr="00D41CDD">
              <w:t>17</w:t>
            </w:r>
          </w:p>
        </w:tc>
        <w:tc>
          <w:tcPr>
            <w:tcW w:w="1134" w:type="dxa"/>
            <w:tcBorders>
              <w:top w:val="single" w:sz="2" w:space="0" w:color="000000"/>
              <w:left w:val="single" w:sz="24" w:space="0" w:color="FFFFFF"/>
              <w:bottom w:val="single" w:sz="2" w:space="0" w:color="000000"/>
            </w:tcBorders>
          </w:tcPr>
          <w:p w14:paraId="6E10B2E7" w14:textId="77777777" w:rsidR="00804E6E" w:rsidRPr="00D41CDD" w:rsidRDefault="00804E6E" w:rsidP="001D192C">
            <w:pPr>
              <w:pStyle w:val="Tnumber"/>
              <w:keepNext/>
            </w:pPr>
            <w:r w:rsidRPr="00D41CDD">
              <w:t>– 94,7</w:t>
            </w:r>
          </w:p>
        </w:tc>
      </w:tr>
      <w:tr w:rsidR="00804E6E" w:rsidRPr="00D41CDD" w14:paraId="09C6E3F5" w14:textId="77777777" w:rsidTr="00804E6E">
        <w:tc>
          <w:tcPr>
            <w:tcW w:w="5103" w:type="dxa"/>
            <w:tcBorders>
              <w:top w:val="single" w:sz="2" w:space="0" w:color="000000"/>
              <w:bottom w:val="single" w:sz="2" w:space="0" w:color="000000"/>
              <w:right w:val="single" w:sz="24" w:space="0" w:color="FFFFFF"/>
            </w:tcBorders>
          </w:tcPr>
          <w:p w14:paraId="17831404" w14:textId="77777777" w:rsidR="00804E6E" w:rsidRPr="00D41CDD" w:rsidRDefault="00804E6E" w:rsidP="001D192C">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1AA3A40A" w14:textId="77777777" w:rsidR="00804E6E" w:rsidRPr="00D41CDD" w:rsidRDefault="00804E6E" w:rsidP="001D192C">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2D8CB28" w14:textId="77777777" w:rsidR="00804E6E" w:rsidRPr="00D41CDD" w:rsidRDefault="00804E6E" w:rsidP="001D192C">
            <w:pPr>
              <w:pStyle w:val="TDummy"/>
              <w:keepNext/>
            </w:pPr>
          </w:p>
        </w:tc>
        <w:tc>
          <w:tcPr>
            <w:tcW w:w="1134" w:type="dxa"/>
            <w:tcBorders>
              <w:top w:val="single" w:sz="2" w:space="0" w:color="000000"/>
              <w:left w:val="single" w:sz="24" w:space="0" w:color="FFFFFF"/>
              <w:bottom w:val="single" w:sz="2" w:space="0" w:color="000000"/>
            </w:tcBorders>
          </w:tcPr>
          <w:p w14:paraId="21F687DD" w14:textId="77777777" w:rsidR="00804E6E" w:rsidRPr="00D41CDD" w:rsidRDefault="00804E6E" w:rsidP="001D192C">
            <w:pPr>
              <w:pStyle w:val="TDummy"/>
              <w:keepNext/>
            </w:pPr>
          </w:p>
        </w:tc>
      </w:tr>
      <w:tr w:rsidR="00804E6E" w:rsidRPr="00D41CDD" w14:paraId="2A78A08D" w14:textId="77777777" w:rsidTr="00804E6E">
        <w:tc>
          <w:tcPr>
            <w:tcW w:w="5103" w:type="dxa"/>
            <w:tcBorders>
              <w:top w:val="single" w:sz="2" w:space="0" w:color="000000"/>
              <w:bottom w:val="single" w:sz="2" w:space="0" w:color="000000"/>
              <w:right w:val="single" w:sz="24" w:space="0" w:color="FFFFFF"/>
            </w:tcBorders>
            <w:shd w:val="clear" w:color="000000" w:fill="80CFF2"/>
          </w:tcPr>
          <w:p w14:paraId="2E23EA19" w14:textId="77777777" w:rsidR="00804E6E" w:rsidRPr="00D41CDD" w:rsidRDefault="00804E6E" w:rsidP="001D192C">
            <w:pPr>
              <w:pStyle w:val="Ttextbold"/>
              <w:keepNext/>
            </w:pPr>
            <w:r w:rsidRPr="00D41CDD">
              <w:t>Performance Materials</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2D88E7C" w14:textId="77777777" w:rsidR="00804E6E" w:rsidRPr="00D41CDD" w:rsidRDefault="00804E6E" w:rsidP="001D192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8DEF6E0" w14:textId="77777777" w:rsidR="00804E6E" w:rsidRPr="00D41CDD" w:rsidRDefault="00804E6E" w:rsidP="001D192C">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5CB1C252" w14:textId="77777777" w:rsidR="00804E6E" w:rsidRPr="00D41CDD" w:rsidRDefault="00804E6E" w:rsidP="001D192C">
            <w:pPr>
              <w:pStyle w:val="Tnumberbold"/>
              <w:keepNext/>
            </w:pPr>
          </w:p>
        </w:tc>
      </w:tr>
      <w:tr w:rsidR="00804E6E" w:rsidRPr="00D41CDD" w14:paraId="4ECA5068" w14:textId="77777777" w:rsidTr="00804E6E">
        <w:tc>
          <w:tcPr>
            <w:tcW w:w="5103" w:type="dxa"/>
            <w:tcBorders>
              <w:top w:val="single" w:sz="2" w:space="0" w:color="000000"/>
              <w:bottom w:val="single" w:sz="2" w:space="0" w:color="000000"/>
              <w:right w:val="single" w:sz="24" w:space="0" w:color="FFFFFF"/>
            </w:tcBorders>
          </w:tcPr>
          <w:p w14:paraId="70B4161D" w14:textId="77777777" w:rsidR="00804E6E" w:rsidRPr="00D41CDD" w:rsidRDefault="00804E6E" w:rsidP="001D192C">
            <w:pPr>
              <w:pStyle w:val="Ttext"/>
              <w:keepNext/>
            </w:pPr>
            <w:proofErr w:type="spellStart"/>
            <w:r w:rsidRPr="00D41CDD">
              <w:t>Umsatzerlöse</w:t>
            </w:r>
            <w:proofErr w:type="spellEnd"/>
            <w:r w:rsidRPr="00D41CDD">
              <w:t xml:space="preserve"> (extern)</w:t>
            </w:r>
          </w:p>
        </w:tc>
        <w:tc>
          <w:tcPr>
            <w:tcW w:w="1134" w:type="dxa"/>
            <w:tcBorders>
              <w:top w:val="single" w:sz="2" w:space="0" w:color="000000"/>
              <w:left w:val="single" w:sz="24" w:space="0" w:color="FFFFFF"/>
              <w:bottom w:val="single" w:sz="2" w:space="0" w:color="000000"/>
              <w:right w:val="single" w:sz="24" w:space="0" w:color="FFFFFF"/>
            </w:tcBorders>
          </w:tcPr>
          <w:p w14:paraId="47C14F05" w14:textId="77777777" w:rsidR="00804E6E" w:rsidRPr="00D41CDD" w:rsidRDefault="00804E6E" w:rsidP="001D192C">
            <w:pPr>
              <w:pStyle w:val="Tnumber"/>
              <w:keepNext/>
            </w:pPr>
            <w:r w:rsidRPr="00D41CDD">
              <w:t>1.740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E014FA7" w14:textId="77777777" w:rsidR="00804E6E" w:rsidRPr="00D41CDD" w:rsidRDefault="00804E6E" w:rsidP="001D192C">
            <w:pPr>
              <w:pStyle w:val="Tnumber"/>
              <w:keepNext/>
            </w:pPr>
            <w:r w:rsidRPr="00D41CDD">
              <w:t>2.388</w:t>
            </w:r>
          </w:p>
        </w:tc>
        <w:tc>
          <w:tcPr>
            <w:tcW w:w="1134" w:type="dxa"/>
            <w:tcBorders>
              <w:top w:val="single" w:sz="2" w:space="0" w:color="000000"/>
              <w:left w:val="single" w:sz="24" w:space="0" w:color="FFFFFF"/>
              <w:bottom w:val="single" w:sz="2" w:space="0" w:color="000000"/>
            </w:tcBorders>
          </w:tcPr>
          <w:p w14:paraId="73599587" w14:textId="77777777" w:rsidR="00804E6E" w:rsidRPr="00D41CDD" w:rsidRDefault="00804E6E" w:rsidP="001D192C">
            <w:pPr>
              <w:pStyle w:val="Tnumber"/>
              <w:keepNext/>
            </w:pPr>
            <w:r w:rsidRPr="00D41CDD">
              <w:t>37,2</w:t>
            </w:r>
          </w:p>
        </w:tc>
      </w:tr>
      <w:tr w:rsidR="00804E6E" w:rsidRPr="00D41CDD" w14:paraId="73C72B7A" w14:textId="77777777" w:rsidTr="00804E6E">
        <w:tc>
          <w:tcPr>
            <w:tcW w:w="5103" w:type="dxa"/>
            <w:tcBorders>
              <w:top w:val="single" w:sz="2" w:space="0" w:color="000000"/>
              <w:bottom w:val="single" w:sz="2" w:space="0" w:color="000000"/>
              <w:right w:val="single" w:sz="24" w:space="0" w:color="FFFFFF"/>
            </w:tcBorders>
          </w:tcPr>
          <w:p w14:paraId="427B8311" w14:textId="77777777" w:rsidR="00804E6E" w:rsidRPr="00D41CDD" w:rsidRDefault="00804E6E" w:rsidP="001D192C">
            <w:pPr>
              <w:pStyle w:val="Ttext"/>
              <w:keepNext/>
            </w:pPr>
            <w:proofErr w:type="spellStart"/>
            <w:r w:rsidRPr="00D41CDD">
              <w:t>Umsatzerlöse</w:t>
            </w:r>
            <w:proofErr w:type="spellEnd"/>
            <w:r w:rsidRPr="00D41CDD">
              <w:t xml:space="preserve"> </w:t>
            </w:r>
            <w:proofErr w:type="spellStart"/>
            <w:r w:rsidRPr="00D41CDD">
              <w:t>zwischen</w:t>
            </w:r>
            <w:proofErr w:type="spellEnd"/>
            <w:r w:rsidRPr="00D41CDD">
              <w:t xml:space="preserve"> den </w:t>
            </w:r>
            <w:proofErr w:type="spellStart"/>
            <w:r w:rsidRPr="00D41CDD">
              <w:t>Segmenten</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1760027D" w14:textId="77777777" w:rsidR="00804E6E" w:rsidRPr="00D41CDD" w:rsidRDefault="00804E6E" w:rsidP="001D192C">
            <w:pPr>
              <w:pStyle w:val="Tnumber"/>
              <w:keepNext/>
            </w:pPr>
            <w:r w:rsidRPr="00D41CDD">
              <w:t>483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94C2AAF" w14:textId="77777777" w:rsidR="00804E6E" w:rsidRPr="00D41CDD" w:rsidRDefault="00804E6E" w:rsidP="001D192C">
            <w:pPr>
              <w:pStyle w:val="Tnumber"/>
              <w:keepNext/>
            </w:pPr>
            <w:r w:rsidRPr="00D41CDD">
              <w:t>657</w:t>
            </w:r>
          </w:p>
        </w:tc>
        <w:tc>
          <w:tcPr>
            <w:tcW w:w="1134" w:type="dxa"/>
            <w:tcBorders>
              <w:top w:val="single" w:sz="2" w:space="0" w:color="000000"/>
              <w:left w:val="single" w:sz="24" w:space="0" w:color="FFFFFF"/>
              <w:bottom w:val="single" w:sz="2" w:space="0" w:color="000000"/>
            </w:tcBorders>
          </w:tcPr>
          <w:p w14:paraId="5A0E5B08" w14:textId="77777777" w:rsidR="00804E6E" w:rsidRPr="00D41CDD" w:rsidRDefault="00804E6E" w:rsidP="001D192C">
            <w:pPr>
              <w:pStyle w:val="Tnumber"/>
              <w:keepNext/>
            </w:pPr>
            <w:r w:rsidRPr="00D41CDD">
              <w:t>36,0</w:t>
            </w:r>
          </w:p>
        </w:tc>
      </w:tr>
      <w:tr w:rsidR="00804E6E" w:rsidRPr="00D41CDD" w14:paraId="03C5CB2F" w14:textId="77777777" w:rsidTr="00804E6E">
        <w:tc>
          <w:tcPr>
            <w:tcW w:w="5103" w:type="dxa"/>
            <w:tcBorders>
              <w:top w:val="single" w:sz="2" w:space="0" w:color="000000"/>
              <w:bottom w:val="single" w:sz="2" w:space="0" w:color="000000"/>
              <w:right w:val="single" w:sz="24" w:space="0" w:color="FFFFFF"/>
            </w:tcBorders>
          </w:tcPr>
          <w:p w14:paraId="3ADBE4E7" w14:textId="77777777" w:rsidR="00804E6E" w:rsidRPr="00D41CDD" w:rsidRDefault="00804E6E" w:rsidP="001D192C">
            <w:pPr>
              <w:pStyle w:val="Ttext"/>
              <w:keepNext/>
            </w:pPr>
            <w:proofErr w:type="spellStart"/>
            <w:r w:rsidRPr="00D41CDD">
              <w:t>Umsatzerlöse</w:t>
            </w:r>
            <w:proofErr w:type="spellEnd"/>
            <w:r w:rsidRPr="00D41CDD">
              <w:t xml:space="preserve"> (</w:t>
            </w:r>
            <w:proofErr w:type="spellStart"/>
            <w:r w:rsidRPr="00D41CDD">
              <w:t>gesamt</w:t>
            </w:r>
            <w:proofErr w:type="spellEnd"/>
            <w:r w:rsidRPr="00D41CDD">
              <w:t>)</w:t>
            </w:r>
          </w:p>
        </w:tc>
        <w:tc>
          <w:tcPr>
            <w:tcW w:w="1134" w:type="dxa"/>
            <w:tcBorders>
              <w:top w:val="single" w:sz="2" w:space="0" w:color="000000"/>
              <w:left w:val="single" w:sz="24" w:space="0" w:color="FFFFFF"/>
              <w:bottom w:val="single" w:sz="2" w:space="0" w:color="000000"/>
              <w:right w:val="single" w:sz="24" w:space="0" w:color="FFFFFF"/>
            </w:tcBorders>
          </w:tcPr>
          <w:p w14:paraId="20E935E1" w14:textId="77777777" w:rsidR="00804E6E" w:rsidRPr="00D41CDD" w:rsidRDefault="00804E6E" w:rsidP="001D192C">
            <w:pPr>
              <w:pStyle w:val="Tnumber"/>
              <w:keepNext/>
            </w:pPr>
            <w:r w:rsidRPr="00D41CDD">
              <w:t>2.223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DC4C8EA" w14:textId="77777777" w:rsidR="00804E6E" w:rsidRPr="00D41CDD" w:rsidRDefault="00804E6E" w:rsidP="001D192C">
            <w:pPr>
              <w:pStyle w:val="Tnumber"/>
              <w:keepNext/>
            </w:pPr>
            <w:r w:rsidRPr="00D41CDD">
              <w:t>3.045</w:t>
            </w:r>
          </w:p>
        </w:tc>
        <w:tc>
          <w:tcPr>
            <w:tcW w:w="1134" w:type="dxa"/>
            <w:tcBorders>
              <w:top w:val="single" w:sz="2" w:space="0" w:color="000000"/>
              <w:left w:val="single" w:sz="24" w:space="0" w:color="FFFFFF"/>
              <w:bottom w:val="single" w:sz="2" w:space="0" w:color="000000"/>
            </w:tcBorders>
          </w:tcPr>
          <w:p w14:paraId="715C7A1E" w14:textId="77777777" w:rsidR="00804E6E" w:rsidRPr="00D41CDD" w:rsidRDefault="00804E6E" w:rsidP="001D192C">
            <w:pPr>
              <w:pStyle w:val="Tnumber"/>
              <w:keepNext/>
            </w:pPr>
            <w:r w:rsidRPr="00D41CDD">
              <w:t>37,0</w:t>
            </w:r>
          </w:p>
        </w:tc>
      </w:tr>
      <w:tr w:rsidR="00804E6E" w:rsidRPr="00D41CDD" w14:paraId="032AFC79" w14:textId="77777777" w:rsidTr="00804E6E">
        <w:tc>
          <w:tcPr>
            <w:tcW w:w="5103" w:type="dxa"/>
            <w:tcBorders>
              <w:top w:val="single" w:sz="2" w:space="0" w:color="000000"/>
              <w:bottom w:val="single" w:sz="2" w:space="0" w:color="000000"/>
              <w:right w:val="single" w:sz="24" w:space="0" w:color="FFFFFF"/>
            </w:tcBorders>
          </w:tcPr>
          <w:p w14:paraId="56108E55" w14:textId="77777777" w:rsidR="00804E6E" w:rsidRPr="00D41CDD" w:rsidRDefault="00804E6E" w:rsidP="001D192C">
            <w:pPr>
              <w:pStyle w:val="Ttext"/>
              <w:keepNext/>
            </w:pPr>
            <w:proofErr w:type="spellStart"/>
            <w:r w:rsidRPr="00D41CDD">
              <w:t>Umsatzveränderung</w:t>
            </w:r>
            <w:proofErr w:type="spellEnd"/>
            <w:r w:rsidRPr="00D41CDD">
              <w:t xml:space="preserve"> (extern)</w:t>
            </w:r>
          </w:p>
        </w:tc>
        <w:tc>
          <w:tcPr>
            <w:tcW w:w="1134" w:type="dxa"/>
            <w:tcBorders>
              <w:top w:val="single" w:sz="2" w:space="0" w:color="000000"/>
              <w:left w:val="single" w:sz="24" w:space="0" w:color="FFFFFF"/>
              <w:bottom w:val="single" w:sz="2" w:space="0" w:color="000000"/>
              <w:right w:val="single" w:sz="24" w:space="0" w:color="FFFFFF"/>
            </w:tcBorders>
          </w:tcPr>
          <w:p w14:paraId="54313EED" w14:textId="77777777" w:rsidR="00804E6E" w:rsidRPr="00D41CDD" w:rsidRDefault="00804E6E" w:rsidP="001D192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047E118" w14:textId="77777777" w:rsidR="00804E6E" w:rsidRPr="00D41CDD" w:rsidRDefault="00804E6E" w:rsidP="001D192C">
            <w:pPr>
              <w:pStyle w:val="Tnumber"/>
              <w:keepNext/>
            </w:pPr>
          </w:p>
        </w:tc>
        <w:tc>
          <w:tcPr>
            <w:tcW w:w="1134" w:type="dxa"/>
            <w:tcBorders>
              <w:top w:val="single" w:sz="2" w:space="0" w:color="000000"/>
              <w:left w:val="single" w:sz="24" w:space="0" w:color="FFFFFF"/>
              <w:bottom w:val="single" w:sz="2" w:space="0" w:color="000000"/>
            </w:tcBorders>
          </w:tcPr>
          <w:p w14:paraId="609304C6" w14:textId="77777777" w:rsidR="00804E6E" w:rsidRPr="00D41CDD" w:rsidRDefault="00804E6E" w:rsidP="001D192C">
            <w:pPr>
              <w:pStyle w:val="Tnumber"/>
              <w:keepNext/>
            </w:pPr>
          </w:p>
        </w:tc>
      </w:tr>
      <w:tr w:rsidR="00804E6E" w:rsidRPr="00D41CDD" w14:paraId="09EBC84D" w14:textId="77777777" w:rsidTr="00804E6E">
        <w:tc>
          <w:tcPr>
            <w:tcW w:w="5103" w:type="dxa"/>
            <w:tcBorders>
              <w:top w:val="single" w:sz="2" w:space="0" w:color="000000"/>
              <w:bottom w:val="single" w:sz="2" w:space="0" w:color="000000"/>
              <w:right w:val="single" w:sz="24" w:space="0" w:color="FFFFFF"/>
            </w:tcBorders>
          </w:tcPr>
          <w:p w14:paraId="232455F9" w14:textId="77777777" w:rsidR="00804E6E" w:rsidRPr="00D41CDD" w:rsidRDefault="00804E6E" w:rsidP="001D192C">
            <w:pPr>
              <w:pStyle w:val="Ttextindent1"/>
              <w:keepNext/>
            </w:pPr>
            <w:proofErr w:type="spellStart"/>
            <w:r w:rsidRPr="00D41CDD">
              <w:t>Menge</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4402E4C9" w14:textId="77777777" w:rsidR="00804E6E" w:rsidRPr="00D41CDD" w:rsidRDefault="00804E6E" w:rsidP="001D192C">
            <w:pPr>
              <w:pStyle w:val="Tnumber"/>
              <w:keepNext/>
            </w:pPr>
            <w:r w:rsidRPr="00D41CDD">
              <w:t>– 2,3 %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E0FCDC2" w14:textId="77777777" w:rsidR="00804E6E" w:rsidRPr="00D41CDD" w:rsidRDefault="00804E6E" w:rsidP="001D192C">
            <w:pPr>
              <w:pStyle w:val="Tnumber"/>
              <w:keepNext/>
            </w:pPr>
            <w:r w:rsidRPr="00D41CDD">
              <w:t>5,5 %</w:t>
            </w:r>
          </w:p>
        </w:tc>
        <w:tc>
          <w:tcPr>
            <w:tcW w:w="1134" w:type="dxa"/>
            <w:tcBorders>
              <w:top w:val="single" w:sz="2" w:space="0" w:color="000000"/>
              <w:left w:val="single" w:sz="24" w:space="0" w:color="FFFFFF"/>
              <w:bottom w:val="single" w:sz="2" w:space="0" w:color="000000"/>
            </w:tcBorders>
          </w:tcPr>
          <w:p w14:paraId="7F55640A" w14:textId="77777777" w:rsidR="00804E6E" w:rsidRPr="00D41CDD" w:rsidRDefault="00804E6E" w:rsidP="001D192C">
            <w:pPr>
              <w:pStyle w:val="Tnumber"/>
              <w:keepNext/>
            </w:pPr>
          </w:p>
        </w:tc>
      </w:tr>
      <w:tr w:rsidR="00804E6E" w:rsidRPr="00D41CDD" w14:paraId="06D0D1E7" w14:textId="77777777" w:rsidTr="00804E6E">
        <w:tc>
          <w:tcPr>
            <w:tcW w:w="5103" w:type="dxa"/>
            <w:tcBorders>
              <w:top w:val="single" w:sz="2" w:space="0" w:color="000000"/>
              <w:bottom w:val="single" w:sz="2" w:space="0" w:color="000000"/>
              <w:right w:val="single" w:sz="24" w:space="0" w:color="FFFFFF"/>
            </w:tcBorders>
          </w:tcPr>
          <w:p w14:paraId="356FDE68" w14:textId="77777777" w:rsidR="00804E6E" w:rsidRPr="00D41CDD" w:rsidRDefault="00804E6E" w:rsidP="001D192C">
            <w:pPr>
              <w:pStyle w:val="Ttextindent1"/>
              <w:keepNext/>
            </w:pPr>
            <w:r w:rsidRPr="00D41CDD">
              <w:t>Preis</w:t>
            </w:r>
          </w:p>
        </w:tc>
        <w:tc>
          <w:tcPr>
            <w:tcW w:w="1134" w:type="dxa"/>
            <w:tcBorders>
              <w:top w:val="single" w:sz="2" w:space="0" w:color="000000"/>
              <w:left w:val="single" w:sz="24" w:space="0" w:color="FFFFFF"/>
              <w:bottom w:val="single" w:sz="2" w:space="0" w:color="000000"/>
              <w:right w:val="single" w:sz="24" w:space="0" w:color="FFFFFF"/>
            </w:tcBorders>
          </w:tcPr>
          <w:p w14:paraId="1FB40A9C" w14:textId="77777777" w:rsidR="00804E6E" w:rsidRPr="00D41CDD" w:rsidRDefault="00804E6E" w:rsidP="001D192C">
            <w:pPr>
              <w:pStyle w:val="Tnumber"/>
              <w:keepNext/>
            </w:pPr>
            <w:r w:rsidRPr="00D41CDD">
              <w:t>32,9 %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907B971" w14:textId="77777777" w:rsidR="00804E6E" w:rsidRPr="00D41CDD" w:rsidRDefault="00804E6E" w:rsidP="001D192C">
            <w:pPr>
              <w:pStyle w:val="Tnumber"/>
              <w:keepNext/>
            </w:pPr>
            <w:r w:rsidRPr="00D41CDD">
              <w:t>26,4 %</w:t>
            </w:r>
          </w:p>
        </w:tc>
        <w:tc>
          <w:tcPr>
            <w:tcW w:w="1134" w:type="dxa"/>
            <w:tcBorders>
              <w:top w:val="single" w:sz="2" w:space="0" w:color="000000"/>
              <w:left w:val="single" w:sz="24" w:space="0" w:color="FFFFFF"/>
              <w:bottom w:val="single" w:sz="2" w:space="0" w:color="000000"/>
            </w:tcBorders>
          </w:tcPr>
          <w:p w14:paraId="18621BCA" w14:textId="77777777" w:rsidR="00804E6E" w:rsidRPr="00D41CDD" w:rsidRDefault="00804E6E" w:rsidP="001D192C">
            <w:pPr>
              <w:pStyle w:val="Tnumber"/>
              <w:keepNext/>
            </w:pPr>
          </w:p>
        </w:tc>
      </w:tr>
      <w:tr w:rsidR="00804E6E" w:rsidRPr="00D41CDD" w14:paraId="187F50E2" w14:textId="77777777" w:rsidTr="00804E6E">
        <w:tc>
          <w:tcPr>
            <w:tcW w:w="5103" w:type="dxa"/>
            <w:tcBorders>
              <w:top w:val="single" w:sz="2" w:space="0" w:color="000000"/>
              <w:bottom w:val="single" w:sz="2" w:space="0" w:color="000000"/>
              <w:right w:val="single" w:sz="24" w:space="0" w:color="FFFFFF"/>
            </w:tcBorders>
          </w:tcPr>
          <w:p w14:paraId="14114344" w14:textId="77777777" w:rsidR="00804E6E" w:rsidRPr="00D41CDD" w:rsidRDefault="00804E6E" w:rsidP="001D192C">
            <w:pPr>
              <w:pStyle w:val="Ttextindent1"/>
              <w:keepNext/>
            </w:pPr>
            <w:proofErr w:type="spellStart"/>
            <w:r w:rsidRPr="00D41CDD">
              <w:t>Währung</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754E51F4" w14:textId="77777777" w:rsidR="00804E6E" w:rsidRPr="00D41CDD" w:rsidRDefault="00804E6E" w:rsidP="001D192C">
            <w:pPr>
              <w:pStyle w:val="Tnumber"/>
              <w:keepNext/>
            </w:pPr>
            <w:r w:rsidRPr="00D41CDD">
              <w:t>– 4,8 %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8AAFE11" w14:textId="77777777" w:rsidR="00804E6E" w:rsidRPr="00D41CDD" w:rsidRDefault="00804E6E" w:rsidP="001D192C">
            <w:pPr>
              <w:pStyle w:val="Tnumber"/>
              <w:keepNext/>
            </w:pPr>
            <w:r w:rsidRPr="00D41CDD">
              <w:t>5,3 %</w:t>
            </w:r>
          </w:p>
        </w:tc>
        <w:tc>
          <w:tcPr>
            <w:tcW w:w="1134" w:type="dxa"/>
            <w:tcBorders>
              <w:top w:val="single" w:sz="2" w:space="0" w:color="000000"/>
              <w:left w:val="single" w:sz="24" w:space="0" w:color="FFFFFF"/>
              <w:bottom w:val="single" w:sz="2" w:space="0" w:color="000000"/>
            </w:tcBorders>
          </w:tcPr>
          <w:p w14:paraId="32E1B8E7" w14:textId="77777777" w:rsidR="00804E6E" w:rsidRPr="00D41CDD" w:rsidRDefault="00804E6E" w:rsidP="001D192C">
            <w:pPr>
              <w:pStyle w:val="Tnumber"/>
              <w:keepNext/>
            </w:pPr>
          </w:p>
        </w:tc>
      </w:tr>
      <w:tr w:rsidR="00804E6E" w:rsidRPr="00D41CDD" w14:paraId="3FA52F34" w14:textId="77777777" w:rsidTr="00804E6E">
        <w:tc>
          <w:tcPr>
            <w:tcW w:w="5103" w:type="dxa"/>
            <w:tcBorders>
              <w:top w:val="single" w:sz="2" w:space="0" w:color="000000"/>
              <w:bottom w:val="single" w:sz="2" w:space="0" w:color="000000"/>
              <w:right w:val="single" w:sz="24" w:space="0" w:color="FFFFFF"/>
            </w:tcBorders>
          </w:tcPr>
          <w:p w14:paraId="674EB535" w14:textId="77777777" w:rsidR="00804E6E" w:rsidRPr="00D41CDD" w:rsidRDefault="00804E6E" w:rsidP="001D192C">
            <w:pPr>
              <w:pStyle w:val="Ttextindent1"/>
              <w:keepNext/>
            </w:pPr>
            <w:r w:rsidRPr="00D41CDD">
              <w:t>Portfolio</w:t>
            </w:r>
          </w:p>
        </w:tc>
        <w:tc>
          <w:tcPr>
            <w:tcW w:w="1134" w:type="dxa"/>
            <w:tcBorders>
              <w:top w:val="single" w:sz="2" w:space="0" w:color="000000"/>
              <w:left w:val="single" w:sz="24" w:space="0" w:color="FFFFFF"/>
              <w:bottom w:val="single" w:sz="2" w:space="0" w:color="000000"/>
              <w:right w:val="single" w:sz="24" w:space="0" w:color="FFFFFF"/>
            </w:tcBorders>
          </w:tcPr>
          <w:p w14:paraId="518A9A8E" w14:textId="77777777" w:rsidR="00804E6E" w:rsidRPr="00D41CDD" w:rsidRDefault="00804E6E" w:rsidP="001D192C">
            <w:pPr>
              <w:pStyle w:val="Tnumber"/>
              <w:keepNext/>
            </w:pPr>
            <w:r w:rsidRPr="00D41CDD">
              <w:t>0,0 %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D580D6E" w14:textId="77777777" w:rsidR="00804E6E" w:rsidRPr="00D41CDD" w:rsidRDefault="00804E6E" w:rsidP="001D192C">
            <w:pPr>
              <w:pStyle w:val="Tnumber"/>
              <w:keepNext/>
            </w:pPr>
            <w:r w:rsidRPr="00D41CDD">
              <w:t>0,0 %</w:t>
            </w:r>
          </w:p>
        </w:tc>
        <w:tc>
          <w:tcPr>
            <w:tcW w:w="1134" w:type="dxa"/>
            <w:tcBorders>
              <w:top w:val="single" w:sz="2" w:space="0" w:color="000000"/>
              <w:left w:val="single" w:sz="24" w:space="0" w:color="FFFFFF"/>
              <w:bottom w:val="single" w:sz="2" w:space="0" w:color="000000"/>
            </w:tcBorders>
          </w:tcPr>
          <w:p w14:paraId="4608189E" w14:textId="77777777" w:rsidR="00804E6E" w:rsidRPr="00D41CDD" w:rsidRDefault="00804E6E" w:rsidP="001D192C">
            <w:pPr>
              <w:pStyle w:val="Tnumber"/>
              <w:keepNext/>
            </w:pPr>
          </w:p>
        </w:tc>
      </w:tr>
      <w:tr w:rsidR="00804E6E" w:rsidRPr="00D41CDD" w14:paraId="16C81E3E" w14:textId="77777777" w:rsidTr="00804E6E">
        <w:tc>
          <w:tcPr>
            <w:tcW w:w="5103" w:type="dxa"/>
            <w:tcBorders>
              <w:top w:val="single" w:sz="2" w:space="0" w:color="000000"/>
              <w:bottom w:val="single" w:sz="2" w:space="0" w:color="000000"/>
              <w:right w:val="single" w:sz="24" w:space="0" w:color="FFFFFF"/>
            </w:tcBorders>
          </w:tcPr>
          <w:p w14:paraId="3F10B482" w14:textId="77777777" w:rsidR="00804E6E" w:rsidRPr="00D41CDD" w:rsidRDefault="00804E6E" w:rsidP="001D192C">
            <w:pPr>
              <w:pStyle w:val="Ttext"/>
              <w:keepNext/>
            </w:pPr>
            <w:r w:rsidRPr="00D41CDD">
              <w:t>EBITDA</w:t>
            </w:r>
          </w:p>
        </w:tc>
        <w:tc>
          <w:tcPr>
            <w:tcW w:w="1134" w:type="dxa"/>
            <w:tcBorders>
              <w:top w:val="single" w:sz="2" w:space="0" w:color="000000"/>
              <w:left w:val="single" w:sz="24" w:space="0" w:color="FFFFFF"/>
              <w:bottom w:val="single" w:sz="2" w:space="0" w:color="000000"/>
              <w:right w:val="single" w:sz="24" w:space="0" w:color="FFFFFF"/>
            </w:tcBorders>
          </w:tcPr>
          <w:p w14:paraId="7EE9B82A" w14:textId="77777777" w:rsidR="00804E6E" w:rsidRPr="00D41CDD" w:rsidRDefault="00804E6E" w:rsidP="001D192C">
            <w:pPr>
              <w:pStyle w:val="Tnumber"/>
              <w:keepNext/>
            </w:pPr>
            <w:r w:rsidRPr="00D41CDD">
              <w:t>630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74B1466" w14:textId="77777777" w:rsidR="00804E6E" w:rsidRPr="00D41CDD" w:rsidRDefault="00804E6E" w:rsidP="001D192C">
            <w:pPr>
              <w:pStyle w:val="Tnumber"/>
              <w:keepNext/>
            </w:pPr>
            <w:r w:rsidRPr="00D41CDD">
              <w:t>620</w:t>
            </w:r>
          </w:p>
        </w:tc>
        <w:tc>
          <w:tcPr>
            <w:tcW w:w="1134" w:type="dxa"/>
            <w:tcBorders>
              <w:top w:val="single" w:sz="2" w:space="0" w:color="000000"/>
              <w:left w:val="single" w:sz="24" w:space="0" w:color="FFFFFF"/>
              <w:bottom w:val="single" w:sz="2" w:space="0" w:color="000000"/>
            </w:tcBorders>
          </w:tcPr>
          <w:p w14:paraId="465A71AF" w14:textId="77777777" w:rsidR="00804E6E" w:rsidRPr="00D41CDD" w:rsidRDefault="00804E6E" w:rsidP="001D192C">
            <w:pPr>
              <w:pStyle w:val="Tnumber"/>
              <w:keepNext/>
            </w:pPr>
            <w:r w:rsidRPr="00D41CDD">
              <w:t>– 1,6</w:t>
            </w:r>
          </w:p>
        </w:tc>
      </w:tr>
      <w:tr w:rsidR="00804E6E" w:rsidRPr="00D41CDD" w14:paraId="2AE63B01" w14:textId="77777777" w:rsidTr="00804E6E">
        <w:tc>
          <w:tcPr>
            <w:tcW w:w="5103" w:type="dxa"/>
            <w:tcBorders>
              <w:top w:val="single" w:sz="2" w:space="0" w:color="000000"/>
              <w:bottom w:val="single" w:sz="2" w:space="0" w:color="000000"/>
              <w:right w:val="single" w:sz="24" w:space="0" w:color="FFFFFF"/>
            </w:tcBorders>
          </w:tcPr>
          <w:p w14:paraId="163CF7EF" w14:textId="77777777" w:rsidR="00804E6E" w:rsidRPr="00D41CDD" w:rsidRDefault="00804E6E" w:rsidP="001D192C">
            <w:pPr>
              <w:pStyle w:val="Ttext"/>
              <w:keepNext/>
            </w:pPr>
            <w:r w:rsidRPr="00D41CDD">
              <w:t>EBIT</w:t>
            </w:r>
          </w:p>
        </w:tc>
        <w:tc>
          <w:tcPr>
            <w:tcW w:w="1134" w:type="dxa"/>
            <w:tcBorders>
              <w:top w:val="single" w:sz="2" w:space="0" w:color="000000"/>
              <w:left w:val="single" w:sz="24" w:space="0" w:color="FFFFFF"/>
              <w:bottom w:val="single" w:sz="2" w:space="0" w:color="000000"/>
              <w:right w:val="single" w:sz="24" w:space="0" w:color="FFFFFF"/>
            </w:tcBorders>
          </w:tcPr>
          <w:p w14:paraId="3C004346" w14:textId="77777777" w:rsidR="00804E6E" w:rsidRPr="00D41CDD" w:rsidRDefault="00804E6E" w:rsidP="001D192C">
            <w:pPr>
              <w:pStyle w:val="Tnumber"/>
              <w:keepNext/>
            </w:pPr>
            <w:r w:rsidRPr="00D41CDD">
              <w:t>489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12197CA" w14:textId="77777777" w:rsidR="00804E6E" w:rsidRPr="00D41CDD" w:rsidRDefault="00804E6E" w:rsidP="001D192C">
            <w:pPr>
              <w:pStyle w:val="Tnumber"/>
              <w:keepNext/>
            </w:pPr>
            <w:r w:rsidRPr="00D41CDD">
              <w:t>475</w:t>
            </w:r>
          </w:p>
        </w:tc>
        <w:tc>
          <w:tcPr>
            <w:tcW w:w="1134" w:type="dxa"/>
            <w:tcBorders>
              <w:top w:val="single" w:sz="2" w:space="0" w:color="000000"/>
              <w:left w:val="single" w:sz="24" w:space="0" w:color="FFFFFF"/>
              <w:bottom w:val="single" w:sz="2" w:space="0" w:color="000000"/>
            </w:tcBorders>
          </w:tcPr>
          <w:p w14:paraId="30C9058A" w14:textId="77777777" w:rsidR="00804E6E" w:rsidRPr="00D41CDD" w:rsidRDefault="00804E6E" w:rsidP="001D192C">
            <w:pPr>
              <w:pStyle w:val="Tnumber"/>
              <w:keepNext/>
            </w:pPr>
            <w:r w:rsidRPr="00D41CDD">
              <w:t>– 2,9</w:t>
            </w:r>
          </w:p>
        </w:tc>
      </w:tr>
      <w:tr w:rsidR="00804E6E" w:rsidRPr="00D41CDD" w14:paraId="5068A506" w14:textId="77777777" w:rsidTr="00804E6E">
        <w:tc>
          <w:tcPr>
            <w:tcW w:w="5103" w:type="dxa"/>
            <w:tcBorders>
              <w:top w:val="single" w:sz="2" w:space="0" w:color="000000"/>
              <w:bottom w:val="single" w:sz="2" w:space="0" w:color="000000"/>
              <w:right w:val="single" w:sz="24" w:space="0" w:color="FFFFFF"/>
            </w:tcBorders>
          </w:tcPr>
          <w:p w14:paraId="5D724DDC" w14:textId="77777777" w:rsidR="00804E6E" w:rsidRPr="00D41CDD" w:rsidRDefault="00804E6E" w:rsidP="001D192C">
            <w:pPr>
              <w:pStyle w:val="Ttext"/>
              <w:keepNext/>
            </w:pPr>
            <w:r w:rsidRPr="00D41CDD">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0521C91E" w14:textId="77777777" w:rsidR="00804E6E" w:rsidRPr="00D41CDD" w:rsidRDefault="00804E6E" w:rsidP="001D192C">
            <w:pPr>
              <w:pStyle w:val="Tnumber"/>
              <w:keepNext/>
            </w:pPr>
            <w:r w:rsidRPr="00D41CDD">
              <w:t>259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C2D2F5A" w14:textId="77777777" w:rsidR="00804E6E" w:rsidRPr="00D41CDD" w:rsidRDefault="00804E6E" w:rsidP="001D192C">
            <w:pPr>
              <w:pStyle w:val="Tnumber"/>
              <w:keepNext/>
            </w:pPr>
            <w:r w:rsidRPr="00D41CDD">
              <w:t>112</w:t>
            </w:r>
          </w:p>
        </w:tc>
        <w:tc>
          <w:tcPr>
            <w:tcW w:w="1134" w:type="dxa"/>
            <w:tcBorders>
              <w:top w:val="single" w:sz="2" w:space="0" w:color="000000"/>
              <w:left w:val="single" w:sz="24" w:space="0" w:color="FFFFFF"/>
              <w:bottom w:val="single" w:sz="2" w:space="0" w:color="000000"/>
            </w:tcBorders>
          </w:tcPr>
          <w:p w14:paraId="6C7E9D62" w14:textId="77777777" w:rsidR="00804E6E" w:rsidRPr="00D41CDD" w:rsidRDefault="00804E6E" w:rsidP="001D192C">
            <w:pPr>
              <w:pStyle w:val="Tnumber"/>
              <w:keepNext/>
            </w:pPr>
            <w:r w:rsidRPr="00D41CDD">
              <w:t>– 56,8</w:t>
            </w:r>
          </w:p>
        </w:tc>
      </w:tr>
      <w:tr w:rsidR="00804E6E" w:rsidRPr="00D41CDD" w14:paraId="7D390BA7" w14:textId="77777777" w:rsidTr="00804E6E">
        <w:tc>
          <w:tcPr>
            <w:tcW w:w="5103" w:type="dxa"/>
            <w:tcBorders>
              <w:top w:val="single" w:sz="2" w:space="0" w:color="000000"/>
              <w:bottom w:val="single" w:sz="2" w:space="0" w:color="000000"/>
              <w:right w:val="single" w:sz="24" w:space="0" w:color="FFFFFF"/>
            </w:tcBorders>
          </w:tcPr>
          <w:p w14:paraId="598FAAB9" w14:textId="77777777" w:rsidR="00804E6E" w:rsidRPr="00D41CDD" w:rsidRDefault="00804E6E" w:rsidP="001D192C">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77956959" w14:textId="77777777" w:rsidR="00804E6E" w:rsidRPr="00D41CDD" w:rsidRDefault="00804E6E" w:rsidP="001D192C">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9F77BFC" w14:textId="77777777" w:rsidR="00804E6E" w:rsidRPr="00D41CDD" w:rsidRDefault="00804E6E" w:rsidP="001D192C">
            <w:pPr>
              <w:pStyle w:val="TDummy"/>
              <w:keepNext/>
            </w:pPr>
          </w:p>
        </w:tc>
        <w:tc>
          <w:tcPr>
            <w:tcW w:w="1134" w:type="dxa"/>
            <w:tcBorders>
              <w:top w:val="single" w:sz="2" w:space="0" w:color="000000"/>
              <w:left w:val="single" w:sz="24" w:space="0" w:color="FFFFFF"/>
              <w:bottom w:val="single" w:sz="2" w:space="0" w:color="000000"/>
            </w:tcBorders>
          </w:tcPr>
          <w:p w14:paraId="665C47BD" w14:textId="77777777" w:rsidR="00804E6E" w:rsidRPr="00D41CDD" w:rsidRDefault="00804E6E" w:rsidP="001D192C">
            <w:pPr>
              <w:pStyle w:val="TDummy"/>
              <w:keepNext/>
            </w:pPr>
          </w:p>
        </w:tc>
      </w:tr>
      <w:tr w:rsidR="00804E6E" w:rsidRPr="00D41CDD" w14:paraId="709BB48A" w14:textId="77777777" w:rsidTr="00804E6E">
        <w:tc>
          <w:tcPr>
            <w:tcW w:w="5103" w:type="dxa"/>
            <w:tcBorders>
              <w:top w:val="single" w:sz="2" w:space="0" w:color="000000"/>
              <w:bottom w:val="single" w:sz="2" w:space="0" w:color="000000"/>
              <w:right w:val="single" w:sz="24" w:space="0" w:color="FFFFFF"/>
            </w:tcBorders>
            <w:shd w:val="clear" w:color="000000" w:fill="80CFF2"/>
          </w:tcPr>
          <w:p w14:paraId="1080F863" w14:textId="77777777" w:rsidR="00804E6E" w:rsidRPr="00D41CDD" w:rsidRDefault="00804E6E" w:rsidP="001D192C">
            <w:pPr>
              <w:pStyle w:val="Ttextbold"/>
              <w:keepNext/>
            </w:pPr>
            <w:r w:rsidRPr="00D41CDD">
              <w:t>Solutions &amp; Specialties</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EC5A50A" w14:textId="77777777" w:rsidR="00804E6E" w:rsidRPr="00D41CDD" w:rsidRDefault="00804E6E" w:rsidP="001D192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F593784" w14:textId="77777777" w:rsidR="00804E6E" w:rsidRPr="00D41CDD" w:rsidRDefault="00804E6E" w:rsidP="001D192C">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5CB39659" w14:textId="77777777" w:rsidR="00804E6E" w:rsidRPr="00D41CDD" w:rsidRDefault="00804E6E" w:rsidP="001D192C">
            <w:pPr>
              <w:pStyle w:val="Tnumberbold"/>
              <w:keepNext/>
            </w:pPr>
          </w:p>
        </w:tc>
      </w:tr>
      <w:tr w:rsidR="00804E6E" w:rsidRPr="00D41CDD" w14:paraId="0C8D0AFE" w14:textId="77777777" w:rsidTr="00804E6E">
        <w:tc>
          <w:tcPr>
            <w:tcW w:w="5103" w:type="dxa"/>
            <w:tcBorders>
              <w:top w:val="single" w:sz="2" w:space="0" w:color="000000"/>
              <w:bottom w:val="single" w:sz="2" w:space="0" w:color="000000"/>
              <w:right w:val="single" w:sz="24" w:space="0" w:color="FFFFFF"/>
            </w:tcBorders>
          </w:tcPr>
          <w:p w14:paraId="2069F4AA" w14:textId="77777777" w:rsidR="00804E6E" w:rsidRPr="00D41CDD" w:rsidRDefault="00804E6E" w:rsidP="001D192C">
            <w:pPr>
              <w:pStyle w:val="Ttext"/>
              <w:keepNext/>
            </w:pPr>
            <w:proofErr w:type="spellStart"/>
            <w:r w:rsidRPr="00D41CDD">
              <w:t>Umsatzerlöse</w:t>
            </w:r>
            <w:proofErr w:type="spellEnd"/>
            <w:r w:rsidRPr="00D41CDD">
              <w:t xml:space="preserve"> (extern)</w:t>
            </w:r>
          </w:p>
        </w:tc>
        <w:tc>
          <w:tcPr>
            <w:tcW w:w="1134" w:type="dxa"/>
            <w:tcBorders>
              <w:top w:val="single" w:sz="2" w:space="0" w:color="000000"/>
              <w:left w:val="single" w:sz="24" w:space="0" w:color="FFFFFF"/>
              <w:bottom w:val="single" w:sz="2" w:space="0" w:color="000000"/>
              <w:right w:val="single" w:sz="24" w:space="0" w:color="FFFFFF"/>
            </w:tcBorders>
          </w:tcPr>
          <w:p w14:paraId="1BDBF234" w14:textId="77777777" w:rsidR="00804E6E" w:rsidRPr="00D41CDD" w:rsidRDefault="00804E6E" w:rsidP="001D192C">
            <w:pPr>
              <w:pStyle w:val="Tnumber"/>
              <w:keepNext/>
            </w:pPr>
            <w:r w:rsidRPr="00D41CDD">
              <w:t>1.529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FE78390" w14:textId="77777777" w:rsidR="00804E6E" w:rsidRPr="00D41CDD" w:rsidRDefault="00804E6E" w:rsidP="001D192C">
            <w:pPr>
              <w:pStyle w:val="Tnumber"/>
              <w:keepNext/>
            </w:pPr>
            <w:r w:rsidRPr="00D41CDD">
              <w:t>2.222</w:t>
            </w:r>
          </w:p>
        </w:tc>
        <w:tc>
          <w:tcPr>
            <w:tcW w:w="1134" w:type="dxa"/>
            <w:tcBorders>
              <w:top w:val="single" w:sz="2" w:space="0" w:color="000000"/>
              <w:left w:val="single" w:sz="24" w:space="0" w:color="FFFFFF"/>
              <w:bottom w:val="single" w:sz="2" w:space="0" w:color="000000"/>
            </w:tcBorders>
          </w:tcPr>
          <w:p w14:paraId="4FAF20E0" w14:textId="77777777" w:rsidR="00804E6E" w:rsidRPr="00D41CDD" w:rsidRDefault="00804E6E" w:rsidP="001D192C">
            <w:pPr>
              <w:pStyle w:val="Tnumber"/>
              <w:keepNext/>
            </w:pPr>
            <w:r w:rsidRPr="00D41CDD">
              <w:t>45,3</w:t>
            </w:r>
          </w:p>
        </w:tc>
      </w:tr>
      <w:tr w:rsidR="00804E6E" w:rsidRPr="00D41CDD" w14:paraId="4D5DD213" w14:textId="77777777" w:rsidTr="00804E6E">
        <w:tc>
          <w:tcPr>
            <w:tcW w:w="5103" w:type="dxa"/>
            <w:tcBorders>
              <w:top w:val="single" w:sz="2" w:space="0" w:color="000000"/>
              <w:bottom w:val="single" w:sz="2" w:space="0" w:color="000000"/>
              <w:right w:val="single" w:sz="24" w:space="0" w:color="FFFFFF"/>
            </w:tcBorders>
          </w:tcPr>
          <w:p w14:paraId="19EB6F0B" w14:textId="77777777" w:rsidR="00804E6E" w:rsidRPr="00D41CDD" w:rsidRDefault="00804E6E" w:rsidP="001D192C">
            <w:pPr>
              <w:pStyle w:val="Ttext"/>
              <w:keepNext/>
            </w:pPr>
            <w:proofErr w:type="spellStart"/>
            <w:r w:rsidRPr="00D41CDD">
              <w:t>Umsatzerlöse</w:t>
            </w:r>
            <w:proofErr w:type="spellEnd"/>
            <w:r w:rsidRPr="00D41CDD">
              <w:t xml:space="preserve"> </w:t>
            </w:r>
            <w:proofErr w:type="spellStart"/>
            <w:r w:rsidRPr="00D41CDD">
              <w:t>zwischen</w:t>
            </w:r>
            <w:proofErr w:type="spellEnd"/>
            <w:r w:rsidRPr="00D41CDD">
              <w:t xml:space="preserve"> den </w:t>
            </w:r>
            <w:proofErr w:type="spellStart"/>
            <w:r w:rsidRPr="00D41CDD">
              <w:t>Segmenten</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780FB862" w14:textId="77777777" w:rsidR="00804E6E" w:rsidRPr="00D41CDD" w:rsidRDefault="00804E6E" w:rsidP="001D192C">
            <w:pPr>
              <w:pStyle w:val="Tnumber"/>
              <w:keepNext/>
            </w:pPr>
            <w:r w:rsidRPr="00D41CDD">
              <w:t>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E217B12" w14:textId="77777777" w:rsidR="00804E6E" w:rsidRPr="00D41CDD" w:rsidRDefault="00804E6E" w:rsidP="001D192C">
            <w:pPr>
              <w:pStyle w:val="Tnumber"/>
              <w:keepNext/>
            </w:pPr>
            <w:r w:rsidRPr="00D41CDD">
              <w:t>9</w:t>
            </w:r>
          </w:p>
        </w:tc>
        <w:tc>
          <w:tcPr>
            <w:tcW w:w="1134" w:type="dxa"/>
            <w:tcBorders>
              <w:top w:val="single" w:sz="2" w:space="0" w:color="000000"/>
              <w:left w:val="single" w:sz="24" w:space="0" w:color="FFFFFF"/>
              <w:bottom w:val="single" w:sz="2" w:space="0" w:color="000000"/>
            </w:tcBorders>
          </w:tcPr>
          <w:p w14:paraId="357B1192" w14:textId="77777777" w:rsidR="00804E6E" w:rsidRPr="00D41CDD" w:rsidRDefault="00804E6E" w:rsidP="001D192C">
            <w:pPr>
              <w:pStyle w:val="Tnumber"/>
              <w:keepNext/>
            </w:pPr>
            <w:r w:rsidRPr="00D41CDD">
              <w:t>80,0</w:t>
            </w:r>
          </w:p>
        </w:tc>
      </w:tr>
      <w:tr w:rsidR="00804E6E" w:rsidRPr="00D41CDD" w14:paraId="6347AE66" w14:textId="77777777" w:rsidTr="00804E6E">
        <w:tc>
          <w:tcPr>
            <w:tcW w:w="5103" w:type="dxa"/>
            <w:tcBorders>
              <w:top w:val="single" w:sz="2" w:space="0" w:color="000000"/>
              <w:bottom w:val="single" w:sz="2" w:space="0" w:color="000000"/>
              <w:right w:val="single" w:sz="24" w:space="0" w:color="FFFFFF"/>
            </w:tcBorders>
          </w:tcPr>
          <w:p w14:paraId="2350FA0C" w14:textId="77777777" w:rsidR="00804E6E" w:rsidRPr="00D41CDD" w:rsidRDefault="00804E6E" w:rsidP="001D192C">
            <w:pPr>
              <w:pStyle w:val="Ttext"/>
              <w:keepNext/>
            </w:pPr>
            <w:proofErr w:type="spellStart"/>
            <w:r w:rsidRPr="00D41CDD">
              <w:t>Umsatzerlöse</w:t>
            </w:r>
            <w:proofErr w:type="spellEnd"/>
            <w:r w:rsidRPr="00D41CDD">
              <w:t xml:space="preserve"> (</w:t>
            </w:r>
            <w:proofErr w:type="spellStart"/>
            <w:r w:rsidRPr="00D41CDD">
              <w:t>gesamt</w:t>
            </w:r>
            <w:proofErr w:type="spellEnd"/>
            <w:r w:rsidRPr="00D41CDD">
              <w:t>)</w:t>
            </w:r>
          </w:p>
        </w:tc>
        <w:tc>
          <w:tcPr>
            <w:tcW w:w="1134" w:type="dxa"/>
            <w:tcBorders>
              <w:top w:val="single" w:sz="2" w:space="0" w:color="000000"/>
              <w:left w:val="single" w:sz="24" w:space="0" w:color="FFFFFF"/>
              <w:bottom w:val="single" w:sz="2" w:space="0" w:color="000000"/>
              <w:right w:val="single" w:sz="24" w:space="0" w:color="FFFFFF"/>
            </w:tcBorders>
          </w:tcPr>
          <w:p w14:paraId="74955B59" w14:textId="77777777" w:rsidR="00804E6E" w:rsidRPr="00D41CDD" w:rsidRDefault="00804E6E" w:rsidP="001D192C">
            <w:pPr>
              <w:pStyle w:val="Tnumber"/>
              <w:keepNext/>
            </w:pPr>
            <w:r w:rsidRPr="00D41CDD">
              <w:t>1.534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0DE5FFE" w14:textId="77777777" w:rsidR="00804E6E" w:rsidRPr="00D41CDD" w:rsidRDefault="00804E6E" w:rsidP="001D192C">
            <w:pPr>
              <w:pStyle w:val="Tnumber"/>
              <w:keepNext/>
            </w:pPr>
            <w:r w:rsidRPr="00D41CDD">
              <w:t>2.231</w:t>
            </w:r>
          </w:p>
        </w:tc>
        <w:tc>
          <w:tcPr>
            <w:tcW w:w="1134" w:type="dxa"/>
            <w:tcBorders>
              <w:top w:val="single" w:sz="2" w:space="0" w:color="000000"/>
              <w:left w:val="single" w:sz="24" w:space="0" w:color="FFFFFF"/>
              <w:bottom w:val="single" w:sz="2" w:space="0" w:color="000000"/>
            </w:tcBorders>
          </w:tcPr>
          <w:p w14:paraId="0E155417" w14:textId="77777777" w:rsidR="00804E6E" w:rsidRPr="00D41CDD" w:rsidRDefault="00804E6E" w:rsidP="001D192C">
            <w:pPr>
              <w:pStyle w:val="Tnumber"/>
              <w:keepNext/>
            </w:pPr>
            <w:r w:rsidRPr="00D41CDD">
              <w:t>45,4</w:t>
            </w:r>
          </w:p>
        </w:tc>
      </w:tr>
      <w:tr w:rsidR="00804E6E" w:rsidRPr="00D41CDD" w14:paraId="2B908C7E" w14:textId="77777777" w:rsidTr="00804E6E">
        <w:tc>
          <w:tcPr>
            <w:tcW w:w="5103" w:type="dxa"/>
            <w:tcBorders>
              <w:top w:val="single" w:sz="2" w:space="0" w:color="000000"/>
              <w:bottom w:val="single" w:sz="2" w:space="0" w:color="000000"/>
              <w:right w:val="single" w:sz="24" w:space="0" w:color="FFFFFF"/>
            </w:tcBorders>
          </w:tcPr>
          <w:p w14:paraId="4FFA7A29" w14:textId="77777777" w:rsidR="00804E6E" w:rsidRPr="00D41CDD" w:rsidRDefault="00804E6E" w:rsidP="001D192C">
            <w:pPr>
              <w:pStyle w:val="Ttext"/>
              <w:keepNext/>
            </w:pPr>
            <w:proofErr w:type="spellStart"/>
            <w:r w:rsidRPr="00D41CDD">
              <w:t>Umsatzveränderung</w:t>
            </w:r>
            <w:proofErr w:type="spellEnd"/>
            <w:r w:rsidRPr="00D41CDD">
              <w:t xml:space="preserve"> (extern)</w:t>
            </w:r>
          </w:p>
        </w:tc>
        <w:tc>
          <w:tcPr>
            <w:tcW w:w="1134" w:type="dxa"/>
            <w:tcBorders>
              <w:top w:val="single" w:sz="2" w:space="0" w:color="000000"/>
              <w:left w:val="single" w:sz="24" w:space="0" w:color="FFFFFF"/>
              <w:bottom w:val="single" w:sz="2" w:space="0" w:color="000000"/>
              <w:right w:val="single" w:sz="24" w:space="0" w:color="FFFFFF"/>
            </w:tcBorders>
          </w:tcPr>
          <w:p w14:paraId="572D6171" w14:textId="77777777" w:rsidR="00804E6E" w:rsidRPr="00D41CDD" w:rsidRDefault="00804E6E" w:rsidP="001D192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3001122" w14:textId="77777777" w:rsidR="00804E6E" w:rsidRPr="00D41CDD" w:rsidRDefault="00804E6E" w:rsidP="001D192C">
            <w:pPr>
              <w:pStyle w:val="Tnumber"/>
              <w:keepNext/>
            </w:pPr>
          </w:p>
        </w:tc>
        <w:tc>
          <w:tcPr>
            <w:tcW w:w="1134" w:type="dxa"/>
            <w:tcBorders>
              <w:top w:val="single" w:sz="2" w:space="0" w:color="000000"/>
              <w:left w:val="single" w:sz="24" w:space="0" w:color="FFFFFF"/>
              <w:bottom w:val="single" w:sz="2" w:space="0" w:color="000000"/>
            </w:tcBorders>
          </w:tcPr>
          <w:p w14:paraId="349DFA1A" w14:textId="77777777" w:rsidR="00804E6E" w:rsidRPr="00D41CDD" w:rsidRDefault="00804E6E" w:rsidP="001D192C">
            <w:pPr>
              <w:pStyle w:val="Tnumber"/>
              <w:keepNext/>
            </w:pPr>
          </w:p>
        </w:tc>
      </w:tr>
      <w:tr w:rsidR="00804E6E" w:rsidRPr="00D41CDD" w14:paraId="7ED39DDA" w14:textId="77777777" w:rsidTr="00804E6E">
        <w:tc>
          <w:tcPr>
            <w:tcW w:w="5103" w:type="dxa"/>
            <w:tcBorders>
              <w:top w:val="single" w:sz="2" w:space="0" w:color="000000"/>
              <w:bottom w:val="single" w:sz="2" w:space="0" w:color="000000"/>
              <w:right w:val="single" w:sz="24" w:space="0" w:color="FFFFFF"/>
            </w:tcBorders>
          </w:tcPr>
          <w:p w14:paraId="636A8E78" w14:textId="77777777" w:rsidR="00804E6E" w:rsidRPr="00D41CDD" w:rsidRDefault="00804E6E" w:rsidP="001D192C">
            <w:pPr>
              <w:pStyle w:val="Ttextindent1"/>
              <w:keepNext/>
            </w:pPr>
            <w:proofErr w:type="spellStart"/>
            <w:r w:rsidRPr="00D41CDD">
              <w:t>Menge</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09E8837D" w14:textId="77777777" w:rsidR="00804E6E" w:rsidRPr="00D41CDD" w:rsidRDefault="00804E6E" w:rsidP="001D192C">
            <w:pPr>
              <w:pStyle w:val="Tnumber"/>
              <w:keepNext/>
            </w:pPr>
            <w:r w:rsidRPr="00D41CDD">
              <w:t>10,8 %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809097C" w14:textId="77777777" w:rsidR="00804E6E" w:rsidRPr="00D41CDD" w:rsidRDefault="00804E6E" w:rsidP="001D192C">
            <w:pPr>
              <w:pStyle w:val="Tnumber"/>
              <w:keepNext/>
            </w:pPr>
            <w:r w:rsidRPr="00D41CDD">
              <w:t>– 0,5 %</w:t>
            </w:r>
          </w:p>
        </w:tc>
        <w:tc>
          <w:tcPr>
            <w:tcW w:w="1134" w:type="dxa"/>
            <w:tcBorders>
              <w:top w:val="single" w:sz="2" w:space="0" w:color="000000"/>
              <w:left w:val="single" w:sz="24" w:space="0" w:color="FFFFFF"/>
              <w:bottom w:val="single" w:sz="2" w:space="0" w:color="000000"/>
            </w:tcBorders>
          </w:tcPr>
          <w:p w14:paraId="4DBDA0EE" w14:textId="77777777" w:rsidR="00804E6E" w:rsidRPr="00D41CDD" w:rsidRDefault="00804E6E" w:rsidP="001D192C">
            <w:pPr>
              <w:pStyle w:val="Tnumber"/>
              <w:keepNext/>
            </w:pPr>
          </w:p>
        </w:tc>
      </w:tr>
      <w:tr w:rsidR="00804E6E" w:rsidRPr="00D41CDD" w14:paraId="1AEF2257" w14:textId="77777777" w:rsidTr="00804E6E">
        <w:tc>
          <w:tcPr>
            <w:tcW w:w="5103" w:type="dxa"/>
            <w:tcBorders>
              <w:top w:val="single" w:sz="2" w:space="0" w:color="000000"/>
              <w:bottom w:val="single" w:sz="2" w:space="0" w:color="000000"/>
              <w:right w:val="single" w:sz="24" w:space="0" w:color="FFFFFF"/>
            </w:tcBorders>
          </w:tcPr>
          <w:p w14:paraId="175BBAC5" w14:textId="77777777" w:rsidR="00804E6E" w:rsidRPr="00D41CDD" w:rsidRDefault="00804E6E" w:rsidP="001D192C">
            <w:pPr>
              <w:pStyle w:val="Ttextindent1"/>
              <w:keepNext/>
            </w:pPr>
            <w:r w:rsidRPr="00D41CDD">
              <w:t>Preis</w:t>
            </w:r>
          </w:p>
        </w:tc>
        <w:tc>
          <w:tcPr>
            <w:tcW w:w="1134" w:type="dxa"/>
            <w:tcBorders>
              <w:top w:val="single" w:sz="2" w:space="0" w:color="000000"/>
              <w:left w:val="single" w:sz="24" w:space="0" w:color="FFFFFF"/>
              <w:bottom w:val="single" w:sz="2" w:space="0" w:color="000000"/>
              <w:right w:val="single" w:sz="24" w:space="0" w:color="FFFFFF"/>
            </w:tcBorders>
          </w:tcPr>
          <w:p w14:paraId="3518D3BC" w14:textId="77777777" w:rsidR="00804E6E" w:rsidRPr="00D41CDD" w:rsidRDefault="00804E6E" w:rsidP="001D192C">
            <w:pPr>
              <w:pStyle w:val="Tnumber"/>
              <w:keepNext/>
            </w:pPr>
            <w:r w:rsidRPr="00D41CDD">
              <w:t>8,1 %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47FA7AB" w14:textId="77777777" w:rsidR="00804E6E" w:rsidRPr="00D41CDD" w:rsidRDefault="00804E6E" w:rsidP="001D192C">
            <w:pPr>
              <w:pStyle w:val="Tnumber"/>
              <w:keepNext/>
            </w:pPr>
            <w:r w:rsidRPr="00D41CDD">
              <w:t>19,4 %</w:t>
            </w:r>
          </w:p>
        </w:tc>
        <w:tc>
          <w:tcPr>
            <w:tcW w:w="1134" w:type="dxa"/>
            <w:tcBorders>
              <w:top w:val="single" w:sz="2" w:space="0" w:color="000000"/>
              <w:left w:val="single" w:sz="24" w:space="0" w:color="FFFFFF"/>
              <w:bottom w:val="single" w:sz="2" w:space="0" w:color="000000"/>
            </w:tcBorders>
          </w:tcPr>
          <w:p w14:paraId="005012D5" w14:textId="77777777" w:rsidR="00804E6E" w:rsidRPr="00D41CDD" w:rsidRDefault="00804E6E" w:rsidP="001D192C">
            <w:pPr>
              <w:pStyle w:val="Tnumber"/>
              <w:keepNext/>
            </w:pPr>
          </w:p>
        </w:tc>
      </w:tr>
      <w:tr w:rsidR="00804E6E" w:rsidRPr="00D41CDD" w14:paraId="2D1B05D3" w14:textId="77777777" w:rsidTr="00804E6E">
        <w:tc>
          <w:tcPr>
            <w:tcW w:w="5103" w:type="dxa"/>
            <w:tcBorders>
              <w:top w:val="single" w:sz="2" w:space="0" w:color="000000"/>
              <w:bottom w:val="single" w:sz="2" w:space="0" w:color="000000"/>
              <w:right w:val="single" w:sz="24" w:space="0" w:color="FFFFFF"/>
            </w:tcBorders>
          </w:tcPr>
          <w:p w14:paraId="6305167B" w14:textId="77777777" w:rsidR="00804E6E" w:rsidRPr="00D41CDD" w:rsidRDefault="00804E6E" w:rsidP="001D192C">
            <w:pPr>
              <w:pStyle w:val="Ttextindent1"/>
              <w:keepNext/>
            </w:pPr>
            <w:proofErr w:type="spellStart"/>
            <w:r w:rsidRPr="00D41CDD">
              <w:t>Währung</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553C61B8" w14:textId="77777777" w:rsidR="00804E6E" w:rsidRPr="00D41CDD" w:rsidRDefault="00804E6E" w:rsidP="001D192C">
            <w:pPr>
              <w:pStyle w:val="Tnumber"/>
              <w:keepNext/>
            </w:pPr>
            <w:r w:rsidRPr="00D41CDD">
              <w:t>– 4,9 %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87DC569" w14:textId="77777777" w:rsidR="00804E6E" w:rsidRPr="00D41CDD" w:rsidRDefault="00804E6E" w:rsidP="001D192C">
            <w:pPr>
              <w:pStyle w:val="Tnumber"/>
              <w:keepNext/>
            </w:pPr>
            <w:r w:rsidRPr="00D41CDD">
              <w:t>5,9 %</w:t>
            </w:r>
          </w:p>
        </w:tc>
        <w:tc>
          <w:tcPr>
            <w:tcW w:w="1134" w:type="dxa"/>
            <w:tcBorders>
              <w:top w:val="single" w:sz="2" w:space="0" w:color="000000"/>
              <w:left w:val="single" w:sz="24" w:space="0" w:color="FFFFFF"/>
              <w:bottom w:val="single" w:sz="2" w:space="0" w:color="000000"/>
            </w:tcBorders>
          </w:tcPr>
          <w:p w14:paraId="5C0B0065" w14:textId="77777777" w:rsidR="00804E6E" w:rsidRPr="00D41CDD" w:rsidRDefault="00804E6E" w:rsidP="001D192C">
            <w:pPr>
              <w:pStyle w:val="Tnumber"/>
              <w:keepNext/>
            </w:pPr>
          </w:p>
        </w:tc>
      </w:tr>
      <w:tr w:rsidR="00804E6E" w:rsidRPr="00D41CDD" w14:paraId="307D437F" w14:textId="77777777" w:rsidTr="00804E6E">
        <w:tc>
          <w:tcPr>
            <w:tcW w:w="5103" w:type="dxa"/>
            <w:tcBorders>
              <w:top w:val="single" w:sz="2" w:space="0" w:color="000000"/>
              <w:bottom w:val="single" w:sz="2" w:space="0" w:color="000000"/>
              <w:right w:val="single" w:sz="24" w:space="0" w:color="FFFFFF"/>
            </w:tcBorders>
          </w:tcPr>
          <w:p w14:paraId="00BB2F0C" w14:textId="77777777" w:rsidR="00804E6E" w:rsidRPr="00D41CDD" w:rsidRDefault="00804E6E" w:rsidP="001D192C">
            <w:pPr>
              <w:pStyle w:val="Ttextindent1"/>
              <w:keepNext/>
            </w:pPr>
            <w:r w:rsidRPr="00D41CDD">
              <w:t>Portfolio</w:t>
            </w:r>
          </w:p>
        </w:tc>
        <w:tc>
          <w:tcPr>
            <w:tcW w:w="1134" w:type="dxa"/>
            <w:tcBorders>
              <w:top w:val="single" w:sz="2" w:space="0" w:color="000000"/>
              <w:left w:val="single" w:sz="24" w:space="0" w:color="FFFFFF"/>
              <w:bottom w:val="single" w:sz="2" w:space="0" w:color="000000"/>
              <w:right w:val="single" w:sz="24" w:space="0" w:color="FFFFFF"/>
            </w:tcBorders>
          </w:tcPr>
          <w:p w14:paraId="28088619" w14:textId="77777777" w:rsidR="00804E6E" w:rsidRPr="00D41CDD" w:rsidRDefault="00804E6E" w:rsidP="001D192C">
            <w:pPr>
              <w:pStyle w:val="Tnumber"/>
              <w:keepNext/>
            </w:pPr>
            <w:r w:rsidRPr="00D41CDD">
              <w:t>0,0 %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A0D4366" w14:textId="77777777" w:rsidR="00804E6E" w:rsidRPr="00D41CDD" w:rsidRDefault="00804E6E" w:rsidP="001D192C">
            <w:pPr>
              <w:pStyle w:val="Tnumber"/>
              <w:keepNext/>
            </w:pPr>
            <w:r w:rsidRPr="00D41CDD">
              <w:t>20,5 %</w:t>
            </w:r>
          </w:p>
        </w:tc>
        <w:tc>
          <w:tcPr>
            <w:tcW w:w="1134" w:type="dxa"/>
            <w:tcBorders>
              <w:top w:val="single" w:sz="2" w:space="0" w:color="000000"/>
              <w:left w:val="single" w:sz="24" w:space="0" w:color="FFFFFF"/>
              <w:bottom w:val="single" w:sz="2" w:space="0" w:color="000000"/>
            </w:tcBorders>
          </w:tcPr>
          <w:p w14:paraId="19DF8EFD" w14:textId="77777777" w:rsidR="00804E6E" w:rsidRPr="00D41CDD" w:rsidRDefault="00804E6E" w:rsidP="001D192C">
            <w:pPr>
              <w:pStyle w:val="Tnumber"/>
              <w:keepNext/>
            </w:pPr>
          </w:p>
        </w:tc>
      </w:tr>
      <w:tr w:rsidR="00804E6E" w:rsidRPr="00D41CDD" w14:paraId="112D6C8B" w14:textId="77777777" w:rsidTr="00804E6E">
        <w:tc>
          <w:tcPr>
            <w:tcW w:w="5103" w:type="dxa"/>
            <w:tcBorders>
              <w:top w:val="single" w:sz="2" w:space="0" w:color="000000"/>
              <w:bottom w:val="single" w:sz="2" w:space="0" w:color="000000"/>
              <w:right w:val="single" w:sz="24" w:space="0" w:color="FFFFFF"/>
            </w:tcBorders>
          </w:tcPr>
          <w:p w14:paraId="509332D5" w14:textId="77777777" w:rsidR="00804E6E" w:rsidRPr="00D41CDD" w:rsidRDefault="00804E6E" w:rsidP="001D192C">
            <w:pPr>
              <w:pStyle w:val="Ttext"/>
              <w:keepNext/>
            </w:pPr>
            <w:r w:rsidRPr="00D41CDD">
              <w:t>EBITDA</w:t>
            </w:r>
          </w:p>
        </w:tc>
        <w:tc>
          <w:tcPr>
            <w:tcW w:w="1134" w:type="dxa"/>
            <w:tcBorders>
              <w:top w:val="single" w:sz="2" w:space="0" w:color="000000"/>
              <w:left w:val="single" w:sz="24" w:space="0" w:color="FFFFFF"/>
              <w:bottom w:val="single" w:sz="2" w:space="0" w:color="000000"/>
              <w:right w:val="single" w:sz="24" w:space="0" w:color="FFFFFF"/>
            </w:tcBorders>
          </w:tcPr>
          <w:p w14:paraId="3A11EB19" w14:textId="77777777" w:rsidR="00804E6E" w:rsidRPr="00D41CDD" w:rsidRDefault="00804E6E" w:rsidP="001D192C">
            <w:pPr>
              <w:pStyle w:val="Tnumber"/>
              <w:keepNext/>
            </w:pPr>
            <w:r w:rsidRPr="00D41CDD">
              <w:t>181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C74F021" w14:textId="77777777" w:rsidR="00804E6E" w:rsidRPr="00D41CDD" w:rsidRDefault="00804E6E" w:rsidP="001D192C">
            <w:pPr>
              <w:pStyle w:val="Tnumber"/>
              <w:keepNext/>
            </w:pPr>
            <w:r w:rsidRPr="00D41CDD">
              <w:t>224</w:t>
            </w:r>
          </w:p>
        </w:tc>
        <w:tc>
          <w:tcPr>
            <w:tcW w:w="1134" w:type="dxa"/>
            <w:tcBorders>
              <w:top w:val="single" w:sz="2" w:space="0" w:color="000000"/>
              <w:left w:val="single" w:sz="24" w:space="0" w:color="FFFFFF"/>
              <w:bottom w:val="single" w:sz="2" w:space="0" w:color="000000"/>
            </w:tcBorders>
          </w:tcPr>
          <w:p w14:paraId="0D2CF7DC" w14:textId="77777777" w:rsidR="00804E6E" w:rsidRPr="00D41CDD" w:rsidRDefault="00804E6E" w:rsidP="001D192C">
            <w:pPr>
              <w:pStyle w:val="Tnumber"/>
              <w:keepNext/>
            </w:pPr>
            <w:r w:rsidRPr="00D41CDD">
              <w:t>23,8</w:t>
            </w:r>
          </w:p>
        </w:tc>
      </w:tr>
      <w:tr w:rsidR="00804E6E" w:rsidRPr="00D41CDD" w14:paraId="4BAC17C3" w14:textId="77777777" w:rsidTr="00804E6E">
        <w:tc>
          <w:tcPr>
            <w:tcW w:w="5103" w:type="dxa"/>
            <w:tcBorders>
              <w:top w:val="single" w:sz="2" w:space="0" w:color="000000"/>
              <w:bottom w:val="single" w:sz="2" w:space="0" w:color="000000"/>
              <w:right w:val="single" w:sz="24" w:space="0" w:color="FFFFFF"/>
            </w:tcBorders>
          </w:tcPr>
          <w:p w14:paraId="16A9DE20" w14:textId="77777777" w:rsidR="00804E6E" w:rsidRPr="00D41CDD" w:rsidRDefault="00804E6E" w:rsidP="001D192C">
            <w:pPr>
              <w:pStyle w:val="Ttext"/>
              <w:keepNext/>
            </w:pPr>
            <w:r w:rsidRPr="00D41CDD">
              <w:t>EBIT</w:t>
            </w:r>
          </w:p>
        </w:tc>
        <w:tc>
          <w:tcPr>
            <w:tcW w:w="1134" w:type="dxa"/>
            <w:tcBorders>
              <w:top w:val="single" w:sz="2" w:space="0" w:color="000000"/>
              <w:left w:val="single" w:sz="24" w:space="0" w:color="FFFFFF"/>
              <w:bottom w:val="single" w:sz="2" w:space="0" w:color="000000"/>
              <w:right w:val="single" w:sz="24" w:space="0" w:color="FFFFFF"/>
            </w:tcBorders>
          </w:tcPr>
          <w:p w14:paraId="0DBB2BFF" w14:textId="77777777" w:rsidR="00804E6E" w:rsidRPr="00D41CDD" w:rsidRDefault="00804E6E" w:rsidP="001D192C">
            <w:pPr>
              <w:pStyle w:val="Tnumber"/>
              <w:keepNext/>
            </w:pPr>
            <w:r w:rsidRPr="00D41CDD">
              <w:t>138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0939C38" w14:textId="77777777" w:rsidR="00804E6E" w:rsidRPr="00D41CDD" w:rsidRDefault="00804E6E" w:rsidP="001D192C">
            <w:pPr>
              <w:pStyle w:val="Tnumber"/>
              <w:keepNext/>
            </w:pPr>
            <w:r w:rsidRPr="00D41CDD">
              <w:t>152</w:t>
            </w:r>
          </w:p>
        </w:tc>
        <w:tc>
          <w:tcPr>
            <w:tcW w:w="1134" w:type="dxa"/>
            <w:tcBorders>
              <w:top w:val="single" w:sz="2" w:space="0" w:color="000000"/>
              <w:left w:val="single" w:sz="24" w:space="0" w:color="FFFFFF"/>
              <w:bottom w:val="single" w:sz="2" w:space="0" w:color="000000"/>
            </w:tcBorders>
          </w:tcPr>
          <w:p w14:paraId="19DCEE3B" w14:textId="77777777" w:rsidR="00804E6E" w:rsidRPr="00D41CDD" w:rsidRDefault="00804E6E" w:rsidP="001D192C">
            <w:pPr>
              <w:pStyle w:val="Tnumber"/>
              <w:keepNext/>
            </w:pPr>
            <w:r w:rsidRPr="00D41CDD">
              <w:t>10,1</w:t>
            </w:r>
          </w:p>
        </w:tc>
      </w:tr>
      <w:tr w:rsidR="00804E6E" w:rsidRPr="00D41CDD" w14:paraId="45779F2D" w14:textId="77777777" w:rsidTr="00804E6E">
        <w:tc>
          <w:tcPr>
            <w:tcW w:w="5103" w:type="dxa"/>
            <w:tcBorders>
              <w:top w:val="single" w:sz="2" w:space="0" w:color="000000"/>
              <w:right w:val="single" w:sz="24" w:space="0" w:color="FFFFFF"/>
            </w:tcBorders>
          </w:tcPr>
          <w:p w14:paraId="241874E0" w14:textId="77777777" w:rsidR="00804E6E" w:rsidRPr="00D41CDD" w:rsidRDefault="00804E6E" w:rsidP="001D192C">
            <w:pPr>
              <w:pStyle w:val="Ttext"/>
              <w:keepNext/>
            </w:pPr>
            <w:r w:rsidRPr="00D41CDD">
              <w:t>Free Operating Cash Flow</w:t>
            </w:r>
          </w:p>
        </w:tc>
        <w:tc>
          <w:tcPr>
            <w:tcW w:w="1134" w:type="dxa"/>
            <w:tcBorders>
              <w:top w:val="single" w:sz="2" w:space="0" w:color="000000"/>
              <w:left w:val="single" w:sz="24" w:space="0" w:color="FFFFFF"/>
              <w:right w:val="single" w:sz="24" w:space="0" w:color="FFFFFF"/>
            </w:tcBorders>
          </w:tcPr>
          <w:p w14:paraId="59487177" w14:textId="77777777" w:rsidR="00804E6E" w:rsidRPr="00D41CDD" w:rsidRDefault="00804E6E" w:rsidP="001D192C">
            <w:pPr>
              <w:pStyle w:val="Tnumber"/>
              <w:keepNext/>
            </w:pPr>
            <w:r w:rsidRPr="00D41CDD">
              <w:t>11</w:t>
            </w:r>
          </w:p>
        </w:tc>
        <w:tc>
          <w:tcPr>
            <w:tcW w:w="1134" w:type="dxa"/>
            <w:tcBorders>
              <w:top w:val="single" w:sz="2" w:space="0" w:color="000000"/>
              <w:left w:val="single" w:sz="24" w:space="0" w:color="FFFFFF"/>
              <w:right w:val="single" w:sz="24" w:space="0" w:color="FFFFFF"/>
            </w:tcBorders>
            <w:shd w:val="clear" w:color="000000" w:fill="D9F1FB"/>
          </w:tcPr>
          <w:p w14:paraId="4B35D5FF" w14:textId="77777777" w:rsidR="00804E6E" w:rsidRPr="00D41CDD" w:rsidRDefault="00804E6E" w:rsidP="001D192C">
            <w:pPr>
              <w:pStyle w:val="Tnumber"/>
              <w:keepNext/>
            </w:pPr>
            <w:r w:rsidRPr="00D41CDD">
              <w:t>– 146</w:t>
            </w:r>
          </w:p>
        </w:tc>
        <w:tc>
          <w:tcPr>
            <w:tcW w:w="1134" w:type="dxa"/>
            <w:tcBorders>
              <w:top w:val="single" w:sz="2" w:space="0" w:color="000000"/>
              <w:left w:val="single" w:sz="24" w:space="0" w:color="FFFFFF"/>
            </w:tcBorders>
          </w:tcPr>
          <w:p w14:paraId="6B5F6376" w14:textId="77777777" w:rsidR="00804E6E" w:rsidRPr="00D41CDD" w:rsidRDefault="00804E6E" w:rsidP="001D192C">
            <w:pPr>
              <w:pStyle w:val="Tnumber"/>
              <w:keepNext/>
            </w:pPr>
            <w:r w:rsidRPr="00D41CDD">
              <w:t>.</w:t>
            </w:r>
          </w:p>
        </w:tc>
      </w:tr>
      <w:tr w:rsidR="00804E6E" w:rsidRPr="00D41CDD" w14:paraId="7F32B7A4" w14:textId="77777777" w:rsidTr="00804E6E">
        <w:tc>
          <w:tcPr>
            <w:tcW w:w="5103" w:type="dxa"/>
            <w:tcBorders>
              <w:top w:val="single" w:sz="8" w:space="0" w:color="009FE4"/>
            </w:tcBorders>
            <w:vAlign w:val="bottom"/>
          </w:tcPr>
          <w:p w14:paraId="19225E30" w14:textId="77777777" w:rsidR="00804E6E" w:rsidRPr="00D41CDD" w:rsidRDefault="00804E6E" w:rsidP="001D192C">
            <w:pPr>
              <w:pStyle w:val="TlastRow"/>
              <w:keepNext/>
            </w:pPr>
          </w:p>
        </w:tc>
        <w:tc>
          <w:tcPr>
            <w:tcW w:w="1134" w:type="dxa"/>
            <w:tcBorders>
              <w:top w:val="single" w:sz="8" w:space="0" w:color="009FE4"/>
            </w:tcBorders>
            <w:vAlign w:val="bottom"/>
          </w:tcPr>
          <w:p w14:paraId="56840CEF" w14:textId="77777777" w:rsidR="00804E6E" w:rsidRPr="00D41CDD" w:rsidRDefault="00804E6E" w:rsidP="001D192C">
            <w:pPr>
              <w:pStyle w:val="TlastRow"/>
              <w:keepNext/>
            </w:pPr>
          </w:p>
        </w:tc>
        <w:tc>
          <w:tcPr>
            <w:tcW w:w="1134" w:type="dxa"/>
            <w:tcBorders>
              <w:top w:val="single" w:sz="8" w:space="0" w:color="009FE4"/>
            </w:tcBorders>
            <w:vAlign w:val="bottom"/>
          </w:tcPr>
          <w:p w14:paraId="22F12131" w14:textId="77777777" w:rsidR="00804E6E" w:rsidRPr="00D41CDD" w:rsidRDefault="00804E6E" w:rsidP="001D192C">
            <w:pPr>
              <w:pStyle w:val="TlastRow"/>
              <w:keepNext/>
            </w:pPr>
          </w:p>
        </w:tc>
        <w:tc>
          <w:tcPr>
            <w:tcW w:w="1134" w:type="dxa"/>
            <w:tcBorders>
              <w:top w:val="single" w:sz="8" w:space="0" w:color="009FE4"/>
            </w:tcBorders>
            <w:vAlign w:val="bottom"/>
          </w:tcPr>
          <w:p w14:paraId="17930BA7" w14:textId="77777777" w:rsidR="00804E6E" w:rsidRPr="00D41CDD" w:rsidRDefault="00804E6E" w:rsidP="001D192C">
            <w:pPr>
              <w:pStyle w:val="TlastRow"/>
              <w:keepNext/>
            </w:pPr>
          </w:p>
        </w:tc>
      </w:tr>
      <w:bookmarkEnd w:id="0"/>
      <w:bookmarkEnd w:id="1"/>
    </w:tbl>
    <w:p w14:paraId="58089147" w14:textId="77777777" w:rsidR="00E91DBC" w:rsidRPr="00064D63" w:rsidRDefault="00E91DBC" w:rsidP="00E86120">
      <w:pPr>
        <w:spacing w:after="0" w:line="300" w:lineRule="atLeast"/>
        <w:rPr>
          <w:rFonts w:cs="Arial"/>
          <w:sz w:val="16"/>
          <w:szCs w:val="16"/>
          <w:lang w:val="de-DE"/>
        </w:rPr>
      </w:pPr>
    </w:p>
    <w:sectPr w:rsidR="00E91DBC" w:rsidRPr="00064D63" w:rsidSect="00C172C5">
      <w:headerReference w:type="even" r:id="rId15"/>
      <w:headerReference w:type="default" r:id="rId16"/>
      <w:footerReference w:type="default" r:id="rId17"/>
      <w:headerReference w:type="first" r:id="rId18"/>
      <w:footerReference w:type="first" r:id="rId19"/>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3FBB" w14:textId="77777777" w:rsidR="00FD1E7A" w:rsidRDefault="00FD1E7A" w:rsidP="00B01CE8">
      <w:r>
        <w:separator/>
      </w:r>
    </w:p>
  </w:endnote>
  <w:endnote w:type="continuationSeparator" w:id="0">
    <w:p w14:paraId="6FB355DC" w14:textId="77777777" w:rsidR="00FD1E7A" w:rsidRDefault="00FD1E7A"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Light">
    <w:altName w:val="Calibri"/>
    <w:charset w:val="00"/>
    <w:family w:val="swiss"/>
    <w:pitch w:val="variable"/>
    <w:sig w:usb0="E0002AFF" w:usb1="D000FFFB" w:usb2="00000028"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Aktiv Grotesk Bold">
    <w:altName w:val="Cambria"/>
    <w:panose1 w:val="020B0804020202020204"/>
    <w:charset w:val="00"/>
    <w:family w:val="roman"/>
    <w:notTrueType/>
    <w:pitch w:val="default"/>
  </w:font>
  <w:font w:name="Aktiv Grotesk Medium">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F261"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C0EE0">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C0EE0">
      <w:t>02</w:t>
    </w:r>
    <w:r>
      <w:fldChar w:fldCharType="end"/>
    </w:r>
  </w:p>
  <w:p w14:paraId="7CEC2403"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1598" w14:textId="77777777" w:rsidR="00B271EE" w:rsidRPr="00B271EE" w:rsidRDefault="00B271EE" w:rsidP="00B271EE">
    <w:pPr>
      <w:pStyle w:val="Footer"/>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3C0EE0">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3C0EE0">
      <w:rPr>
        <w:color w:val="808080"/>
        <w:spacing w:val="-6"/>
        <w:sz w:val="24"/>
        <w:szCs w:val="24"/>
        <w:lang w:val="en-GB" w:eastAsia="en-US"/>
      </w:rPr>
      <w:t>02</w:t>
    </w:r>
    <w:r w:rsidRPr="00B271EE">
      <w:rPr>
        <w:color w:val="808080"/>
        <w:spacing w:val="-6"/>
        <w:sz w:val="24"/>
        <w:szCs w:val="24"/>
        <w:lang w:val="en-GB" w:eastAsia="en-US"/>
      </w:rPr>
      <w:fldChar w:fldCharType="end"/>
    </w:r>
  </w:p>
  <w:p w14:paraId="10036833" w14:textId="77777777" w:rsidR="00D0636E" w:rsidRPr="00B271EE" w:rsidRDefault="00B271EE" w:rsidP="00B271EE">
    <w:pPr>
      <w:pStyle w:val="Footer"/>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E0CB" w14:textId="77777777" w:rsidR="00FD1E7A" w:rsidRDefault="00FD1E7A" w:rsidP="00B01CE8">
      <w:r>
        <w:separator/>
      </w:r>
    </w:p>
  </w:footnote>
  <w:footnote w:type="continuationSeparator" w:id="0">
    <w:p w14:paraId="0AF0C607" w14:textId="77777777" w:rsidR="00FD1E7A" w:rsidRDefault="00FD1E7A"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6989" w14:textId="0A820A1A" w:rsidR="00A45107" w:rsidRDefault="00A45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BB76" w14:textId="278F3F6A" w:rsidR="00163F6F" w:rsidRDefault="00572F78">
    <w:pPr>
      <w:pStyle w:val="Header"/>
    </w:pPr>
    <w:r>
      <w:rPr>
        <w:lang w:eastAsia="en-US"/>
      </w:rPr>
      <mc:AlternateContent>
        <mc:Choice Requires="wps">
          <w:drawing>
            <wp:anchor distT="0" distB="0" distL="114300" distR="114300" simplePos="0" relativeHeight="251669504" behindDoc="0" locked="0" layoutInCell="1" allowOverlap="1" wp14:anchorId="66F1B540" wp14:editId="61C33C81">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FC357DC"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F1B540"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FC357DC"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19F4FC0E" wp14:editId="66765AB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29A5" w14:textId="3D809FDF" w:rsidR="00F53A16" w:rsidRDefault="00670E26" w:rsidP="00B01CE8">
    <w:pPr>
      <w:pStyle w:val="Header"/>
    </w:pPr>
    <w:r>
      <w:rPr>
        <w:lang w:eastAsia="en-US"/>
      </w:rPr>
      <mc:AlternateContent>
        <mc:Choice Requires="wps">
          <w:drawing>
            <wp:anchor distT="0" distB="0" distL="114300" distR="114300" simplePos="0" relativeHeight="251677696" behindDoc="0" locked="1" layoutInCell="1" allowOverlap="1" wp14:anchorId="6583BA3B" wp14:editId="098C64C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57DF8CFA" w14:textId="77777777" w:rsidR="00670E26" w:rsidRPr="00B71BE2" w:rsidRDefault="00E663D9" w:rsidP="00670E26">
                          <w:pPr>
                            <w:pStyle w:val="MarginalHeadline"/>
                            <w:rPr>
                              <w:lang w:val="de-DE"/>
                            </w:rPr>
                          </w:pPr>
                          <w:r w:rsidRPr="00B71BE2">
                            <w:rPr>
                              <w:lang w:val="de-DE"/>
                            </w:rPr>
                            <w:t>Leverkusen</w:t>
                          </w:r>
                          <w:r w:rsidR="00670E26" w:rsidRPr="00B71BE2">
                            <w:rPr>
                              <w:lang w:val="de-DE"/>
                            </w:rPr>
                            <w:t>,</w:t>
                          </w:r>
                        </w:p>
                        <w:p w14:paraId="36303A72" w14:textId="350E225B" w:rsidR="00670E26" w:rsidRPr="00B71BE2" w:rsidRDefault="008B3133" w:rsidP="00670E26">
                          <w:pPr>
                            <w:pStyle w:val="MarginalHeadline"/>
                            <w:rPr>
                              <w:lang w:val="de-DE"/>
                            </w:rPr>
                          </w:pPr>
                          <w:r w:rsidRPr="00B71BE2">
                            <w:rPr>
                              <w:lang w:val="de-DE"/>
                            </w:rPr>
                            <w:t>03. Mai</w:t>
                          </w:r>
                          <w:r w:rsidR="00934DFD" w:rsidRPr="00B71BE2">
                            <w:rPr>
                              <w:lang w:val="de-DE"/>
                            </w:rPr>
                            <w:t xml:space="preserve"> 2022</w:t>
                          </w:r>
                        </w:p>
                        <w:p w14:paraId="733F0945" w14:textId="77777777" w:rsidR="00670E26" w:rsidRPr="00B71BE2" w:rsidRDefault="00670E26" w:rsidP="00670E26">
                          <w:pPr>
                            <w:pStyle w:val="MarginalHeadline"/>
                            <w:rPr>
                              <w:lang w:val="de-DE"/>
                            </w:rPr>
                          </w:pPr>
                        </w:p>
                        <w:p w14:paraId="54537E72" w14:textId="77777777" w:rsidR="00670E26" w:rsidRPr="00B71BE2" w:rsidRDefault="00670E26" w:rsidP="00670E26">
                          <w:pPr>
                            <w:pStyle w:val="MarginalHeadline"/>
                            <w:rPr>
                              <w:lang w:val="de-DE"/>
                            </w:rPr>
                          </w:pPr>
                        </w:p>
                        <w:p w14:paraId="2226C849" w14:textId="77777777" w:rsidR="00670E26" w:rsidRPr="00B71BE2" w:rsidRDefault="005810B9" w:rsidP="005810B9">
                          <w:pPr>
                            <w:pStyle w:val="MarginalHeadline"/>
                            <w:rPr>
                              <w:lang w:val="de-DE"/>
                            </w:rPr>
                          </w:pPr>
                          <w:r w:rsidRPr="00B71BE2">
                            <w:rPr>
                              <w:lang w:val="de-DE"/>
                            </w:rPr>
                            <w:t>Covestro</w:t>
                          </w:r>
                          <w:r w:rsidR="00546259" w:rsidRPr="00B71BE2">
                            <w:rPr>
                              <w:lang w:val="de-DE"/>
                            </w:rPr>
                            <w:t xml:space="preserve"> </w:t>
                          </w:r>
                          <w:r w:rsidR="00DE15E6" w:rsidRPr="00B71BE2">
                            <w:rPr>
                              <w:lang w:val="de-DE"/>
                            </w:rPr>
                            <w:t>A</w:t>
                          </w:r>
                          <w:r w:rsidR="00670E26" w:rsidRPr="00B71BE2">
                            <w:rPr>
                              <w:lang w:val="de-DE"/>
                            </w:rPr>
                            <w:t>G</w:t>
                          </w:r>
                        </w:p>
                        <w:p w14:paraId="44DE6F70" w14:textId="77777777" w:rsidR="00670E26" w:rsidRPr="00B71BE2" w:rsidRDefault="00E663D9" w:rsidP="00670E26">
                          <w:pPr>
                            <w:pStyle w:val="MarginalGrey"/>
                            <w:rPr>
                              <w:lang w:val="de-DE"/>
                            </w:rPr>
                          </w:pPr>
                          <w:r w:rsidRPr="00B71BE2">
                            <w:rPr>
                              <w:lang w:val="de-DE"/>
                            </w:rPr>
                            <w:t>Communications</w:t>
                          </w:r>
                        </w:p>
                        <w:p w14:paraId="2465EA24" w14:textId="77777777" w:rsidR="00670E26" w:rsidRPr="00B71BE2" w:rsidRDefault="00E663D9" w:rsidP="00670E26">
                          <w:pPr>
                            <w:pStyle w:val="MarginalGrey"/>
                            <w:rPr>
                              <w:lang w:val="de-DE"/>
                            </w:rPr>
                          </w:pPr>
                          <w:r w:rsidRPr="00B71BE2">
                            <w:rPr>
                              <w:lang w:val="de-DE"/>
                            </w:rPr>
                            <w:t>51365 Leverkusen</w:t>
                          </w:r>
                        </w:p>
                        <w:p w14:paraId="74D4215F" w14:textId="77777777" w:rsidR="00670E26" w:rsidRPr="00B71BE2" w:rsidRDefault="00670E26" w:rsidP="00670E26">
                          <w:pPr>
                            <w:pStyle w:val="MarginalGrey"/>
                            <w:rPr>
                              <w:lang w:val="de-DE"/>
                            </w:rPr>
                          </w:pPr>
                        </w:p>
                        <w:p w14:paraId="09111F7E" w14:textId="77777777" w:rsidR="00670E26" w:rsidRPr="00B71BE2" w:rsidRDefault="00670E26" w:rsidP="00670E26">
                          <w:pPr>
                            <w:pStyle w:val="MarginalGrey"/>
                            <w:rPr>
                              <w:lang w:val="de-DE"/>
                            </w:rPr>
                          </w:pPr>
                        </w:p>
                        <w:p w14:paraId="70F1E07D" w14:textId="77777777" w:rsidR="00670E26" w:rsidRPr="00B71BE2" w:rsidRDefault="00670E26" w:rsidP="00670E26">
                          <w:pPr>
                            <w:pStyle w:val="MarginalSubheadline"/>
                            <w:rPr>
                              <w:lang w:val="de-DE"/>
                            </w:rPr>
                          </w:pPr>
                          <w:r w:rsidRPr="00B71BE2">
                            <w:rPr>
                              <w:lang w:val="de-DE"/>
                            </w:rPr>
                            <w:t>Ansprechpartner</w:t>
                          </w:r>
                        </w:p>
                        <w:p w14:paraId="0A3E12B3" w14:textId="7FFEEEA5" w:rsidR="00670E26" w:rsidRPr="00B71BE2" w:rsidRDefault="00B14B19" w:rsidP="00670E26">
                          <w:pPr>
                            <w:pStyle w:val="MarginalGrey"/>
                            <w:rPr>
                              <w:lang w:val="nl-NL"/>
                            </w:rPr>
                          </w:pPr>
                          <w:r w:rsidRPr="00B71BE2">
                            <w:rPr>
                              <w:lang w:val="nl-NL"/>
                            </w:rPr>
                            <w:t>Lars Boelke</w:t>
                          </w:r>
                        </w:p>
                        <w:p w14:paraId="0A60171A" w14:textId="77777777" w:rsidR="00670E26" w:rsidRPr="00B71BE2" w:rsidRDefault="00670E26" w:rsidP="00670E26">
                          <w:pPr>
                            <w:pStyle w:val="MarginalSubheadline"/>
                            <w:rPr>
                              <w:lang w:val="nl-NL"/>
                            </w:rPr>
                          </w:pPr>
                          <w:r w:rsidRPr="00B71BE2">
                            <w:rPr>
                              <w:lang w:val="nl-NL"/>
                            </w:rPr>
                            <w:t>Telefon</w:t>
                          </w:r>
                        </w:p>
                        <w:p w14:paraId="2362EB28" w14:textId="052C2B73" w:rsidR="00670E26" w:rsidRPr="00B71BE2" w:rsidRDefault="00670E26" w:rsidP="00670E26">
                          <w:pPr>
                            <w:pStyle w:val="MarginalGrey"/>
                            <w:rPr>
                              <w:lang w:val="nl-NL"/>
                            </w:rPr>
                          </w:pPr>
                          <w:r w:rsidRPr="00B71BE2">
                            <w:rPr>
                              <w:spacing w:val="-20"/>
                              <w:position w:val="6"/>
                              <w:sz w:val="14"/>
                              <w:lang w:val="nl-NL"/>
                            </w:rPr>
                            <w:t>+</w:t>
                          </w:r>
                          <w:r w:rsidRPr="00B71BE2">
                            <w:rPr>
                              <w:lang w:val="nl-NL"/>
                            </w:rPr>
                            <w:t xml:space="preserve">49 </w:t>
                          </w:r>
                          <w:r w:rsidR="007648C9" w:rsidRPr="00B71BE2">
                            <w:rPr>
                              <w:lang w:val="nl-NL"/>
                            </w:rPr>
                            <w:t>152 28860494</w:t>
                          </w:r>
                        </w:p>
                        <w:p w14:paraId="24E4258A" w14:textId="77777777" w:rsidR="00670E26" w:rsidRPr="00B71BE2" w:rsidRDefault="00670E26" w:rsidP="00670E26">
                          <w:pPr>
                            <w:pStyle w:val="MarginalSubheadline"/>
                            <w:rPr>
                              <w:lang w:val="nl-NL"/>
                            </w:rPr>
                          </w:pPr>
                          <w:r w:rsidRPr="00B71BE2">
                            <w:rPr>
                              <w:lang w:val="nl-NL"/>
                            </w:rPr>
                            <w:t>E-Mail</w:t>
                          </w:r>
                        </w:p>
                        <w:p w14:paraId="5F80E7F6" w14:textId="19AA8D15" w:rsidR="00670E26" w:rsidRPr="00B71BE2" w:rsidRDefault="00B14B19" w:rsidP="00670E26">
                          <w:pPr>
                            <w:pStyle w:val="MarginalGrey"/>
                            <w:rPr>
                              <w:lang w:val="nl-NL"/>
                            </w:rPr>
                          </w:pPr>
                          <w:r w:rsidRPr="00B71BE2">
                            <w:rPr>
                              <w:lang w:val="nl-NL"/>
                            </w:rPr>
                            <w:t>Lars.Boelke</w:t>
                          </w:r>
                        </w:p>
                        <w:p w14:paraId="6F4FB77C" w14:textId="77777777" w:rsidR="00670E26" w:rsidRPr="00B71BE2" w:rsidRDefault="00670E26" w:rsidP="00670E26">
                          <w:pPr>
                            <w:pStyle w:val="MarginalGrey"/>
                            <w:rPr>
                              <w:lang w:val="nl-NL"/>
                            </w:rPr>
                          </w:pPr>
                          <w:r w:rsidRPr="00B71BE2">
                            <w:rPr>
                              <w:lang w:val="nl-NL"/>
                            </w:rPr>
                            <w:t>@covestro.com</w:t>
                          </w:r>
                        </w:p>
                        <w:p w14:paraId="603EF832" w14:textId="77777777" w:rsidR="00670E26" w:rsidRPr="00B71BE2" w:rsidRDefault="00670E26" w:rsidP="00670E26">
                          <w:pPr>
                            <w:pStyle w:val="MarginalGrey"/>
                            <w:rPr>
                              <w:lang w:val="nl-NL"/>
                            </w:rPr>
                          </w:pPr>
                        </w:p>
                        <w:p w14:paraId="1B54B78D" w14:textId="1E506512" w:rsidR="00B14B19" w:rsidRPr="00B71BE2" w:rsidRDefault="00B14B19" w:rsidP="00B14B19">
                          <w:pPr>
                            <w:pStyle w:val="MarginalSubheadline"/>
                            <w:rPr>
                              <w:lang w:val="it-IT"/>
                            </w:rPr>
                          </w:pPr>
                          <w:r w:rsidRPr="00B71BE2">
                            <w:rPr>
                              <w:lang w:val="it-IT"/>
                            </w:rPr>
                            <w:t>Ansprechpartnerin</w:t>
                          </w:r>
                        </w:p>
                        <w:p w14:paraId="1C125E16" w14:textId="5E81D4D6" w:rsidR="00B14B19" w:rsidRPr="00B71BE2" w:rsidRDefault="00B14B19" w:rsidP="00B14B19">
                          <w:pPr>
                            <w:pStyle w:val="MarginalGrey"/>
                            <w:rPr>
                              <w:lang w:val="it-IT"/>
                            </w:rPr>
                          </w:pPr>
                          <w:r w:rsidRPr="00B71BE2">
                            <w:rPr>
                              <w:lang w:val="it-IT"/>
                            </w:rPr>
                            <w:t>Svenja Paul</w:t>
                          </w:r>
                        </w:p>
                        <w:p w14:paraId="07B03EDF" w14:textId="77777777" w:rsidR="00B14B19" w:rsidRPr="00B71BE2" w:rsidRDefault="00B14B19" w:rsidP="00B14B19">
                          <w:pPr>
                            <w:pStyle w:val="MarginalSubheadline"/>
                            <w:rPr>
                              <w:lang w:val="it-IT"/>
                            </w:rPr>
                          </w:pPr>
                          <w:r w:rsidRPr="00B71BE2">
                            <w:rPr>
                              <w:lang w:val="it-IT"/>
                            </w:rPr>
                            <w:t>Telefon</w:t>
                          </w:r>
                        </w:p>
                        <w:p w14:paraId="0F68B26D" w14:textId="5AA8B03C" w:rsidR="00B14B19" w:rsidRPr="00B71BE2" w:rsidRDefault="00B14B19" w:rsidP="00B14B19">
                          <w:pPr>
                            <w:pStyle w:val="MarginalGrey"/>
                            <w:rPr>
                              <w:lang w:val="it-IT"/>
                            </w:rPr>
                          </w:pPr>
                          <w:r w:rsidRPr="00B71BE2">
                            <w:rPr>
                              <w:spacing w:val="-20"/>
                              <w:position w:val="6"/>
                              <w:sz w:val="14"/>
                              <w:lang w:val="it-IT"/>
                            </w:rPr>
                            <w:t>+</w:t>
                          </w:r>
                          <w:r w:rsidRPr="00B71BE2">
                            <w:rPr>
                              <w:lang w:val="it-IT"/>
                            </w:rPr>
                            <w:t xml:space="preserve">49 </w:t>
                          </w:r>
                          <w:r w:rsidR="00B868A4" w:rsidRPr="00B71BE2">
                            <w:rPr>
                              <w:lang w:val="it-IT"/>
                            </w:rPr>
                            <w:t>17</w:t>
                          </w:r>
                          <w:r w:rsidR="004E1BE5" w:rsidRPr="00B71BE2">
                            <w:rPr>
                              <w:lang w:val="it-IT"/>
                            </w:rPr>
                            <w:t>3 3056862</w:t>
                          </w:r>
                        </w:p>
                        <w:p w14:paraId="3E91C907" w14:textId="77777777" w:rsidR="00B14B19" w:rsidRPr="00B71BE2" w:rsidRDefault="00B14B19" w:rsidP="00B14B19">
                          <w:pPr>
                            <w:pStyle w:val="MarginalSubheadline"/>
                            <w:rPr>
                              <w:lang w:val="it-IT"/>
                            </w:rPr>
                          </w:pPr>
                          <w:r w:rsidRPr="00B71BE2">
                            <w:rPr>
                              <w:lang w:val="it-IT"/>
                            </w:rPr>
                            <w:t>E-Mail</w:t>
                          </w:r>
                        </w:p>
                        <w:p w14:paraId="79D9EBAE" w14:textId="6EFC13FF" w:rsidR="00B14B19" w:rsidRPr="00B71BE2" w:rsidRDefault="00B14B19" w:rsidP="00B14B19">
                          <w:pPr>
                            <w:pStyle w:val="MarginalGrey"/>
                            <w:rPr>
                              <w:lang w:val="it-IT"/>
                            </w:rPr>
                          </w:pPr>
                          <w:r w:rsidRPr="00B71BE2">
                            <w:rPr>
                              <w:lang w:val="it-IT"/>
                            </w:rPr>
                            <w:t>Svenja.Paul</w:t>
                          </w:r>
                        </w:p>
                        <w:p w14:paraId="38335FC2" w14:textId="6DB13925" w:rsidR="00B14B19" w:rsidRPr="00435660" w:rsidRDefault="00B14B19" w:rsidP="00B14B19">
                          <w:pPr>
                            <w:pStyle w:val="MarginalGrey"/>
                            <w:rPr>
                              <w:lang w:val="en-US"/>
                            </w:rPr>
                          </w:pPr>
                          <w:r w:rsidRPr="00435660">
                            <w:rPr>
                              <w:lang w:val="en-US"/>
                            </w:rPr>
                            <w:t>@covestro.com</w:t>
                          </w:r>
                        </w:p>
                        <w:p w14:paraId="04C7DE66" w14:textId="68A5B910" w:rsidR="00D30790" w:rsidRPr="000F5831" w:rsidRDefault="00D30790" w:rsidP="00D30790">
                          <w:pPr>
                            <w:pStyle w:val="MarginalGrey"/>
                            <w:rPr>
                              <w:lang w:val="nl-NL"/>
                            </w:rPr>
                          </w:pPr>
                        </w:p>
                        <w:p w14:paraId="32399F35" w14:textId="77777777" w:rsidR="00D30790" w:rsidRPr="00E663D9" w:rsidRDefault="00D30790" w:rsidP="00B14B19">
                          <w:pPr>
                            <w:pStyle w:val="MarginalGrey"/>
                            <w:rPr>
                              <w:lang w:val="de-DE"/>
                            </w:rPr>
                          </w:pPr>
                        </w:p>
                        <w:p w14:paraId="6C3DD657" w14:textId="77777777" w:rsidR="00B14B19" w:rsidRPr="00E663D9" w:rsidRDefault="00B14B19" w:rsidP="00B14B19">
                          <w:pPr>
                            <w:pStyle w:val="MarginalGrey"/>
                            <w:rPr>
                              <w:lang w:val="de-DE"/>
                            </w:rPr>
                          </w:pPr>
                        </w:p>
                        <w:p w14:paraId="6AC48295" w14:textId="77777777" w:rsidR="00670E26" w:rsidRPr="00E663D9" w:rsidRDefault="00670E26" w:rsidP="00670E26">
                          <w:pPr>
                            <w:pStyle w:val="MarginalGrey"/>
                            <w:rPr>
                              <w:lang w:val="de-DE"/>
                            </w:rPr>
                          </w:pPr>
                        </w:p>
                        <w:p w14:paraId="0FD287F7"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3BA3B"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57DF8CFA" w14:textId="77777777" w:rsidR="00670E26" w:rsidRPr="00B71BE2" w:rsidRDefault="00E663D9" w:rsidP="00670E26">
                    <w:pPr>
                      <w:pStyle w:val="MarginalHeadline"/>
                      <w:rPr>
                        <w:lang w:val="de-DE"/>
                      </w:rPr>
                    </w:pPr>
                    <w:r w:rsidRPr="00B71BE2">
                      <w:rPr>
                        <w:lang w:val="de-DE"/>
                      </w:rPr>
                      <w:t>Leverkusen</w:t>
                    </w:r>
                    <w:r w:rsidR="00670E26" w:rsidRPr="00B71BE2">
                      <w:rPr>
                        <w:lang w:val="de-DE"/>
                      </w:rPr>
                      <w:t>,</w:t>
                    </w:r>
                  </w:p>
                  <w:p w14:paraId="36303A72" w14:textId="350E225B" w:rsidR="00670E26" w:rsidRPr="00B71BE2" w:rsidRDefault="008B3133" w:rsidP="00670E26">
                    <w:pPr>
                      <w:pStyle w:val="MarginalHeadline"/>
                      <w:rPr>
                        <w:lang w:val="de-DE"/>
                      </w:rPr>
                    </w:pPr>
                    <w:r w:rsidRPr="00B71BE2">
                      <w:rPr>
                        <w:lang w:val="de-DE"/>
                      </w:rPr>
                      <w:t>03. Mai</w:t>
                    </w:r>
                    <w:r w:rsidR="00934DFD" w:rsidRPr="00B71BE2">
                      <w:rPr>
                        <w:lang w:val="de-DE"/>
                      </w:rPr>
                      <w:t xml:space="preserve"> 2022</w:t>
                    </w:r>
                  </w:p>
                  <w:p w14:paraId="733F0945" w14:textId="77777777" w:rsidR="00670E26" w:rsidRPr="00B71BE2" w:rsidRDefault="00670E26" w:rsidP="00670E26">
                    <w:pPr>
                      <w:pStyle w:val="MarginalHeadline"/>
                      <w:rPr>
                        <w:lang w:val="de-DE"/>
                      </w:rPr>
                    </w:pPr>
                  </w:p>
                  <w:p w14:paraId="54537E72" w14:textId="77777777" w:rsidR="00670E26" w:rsidRPr="00B71BE2" w:rsidRDefault="00670E26" w:rsidP="00670E26">
                    <w:pPr>
                      <w:pStyle w:val="MarginalHeadline"/>
                      <w:rPr>
                        <w:lang w:val="de-DE"/>
                      </w:rPr>
                    </w:pPr>
                  </w:p>
                  <w:p w14:paraId="2226C849" w14:textId="77777777" w:rsidR="00670E26" w:rsidRPr="00B71BE2" w:rsidRDefault="005810B9" w:rsidP="005810B9">
                    <w:pPr>
                      <w:pStyle w:val="MarginalHeadline"/>
                      <w:rPr>
                        <w:lang w:val="de-DE"/>
                      </w:rPr>
                    </w:pPr>
                    <w:r w:rsidRPr="00B71BE2">
                      <w:rPr>
                        <w:lang w:val="de-DE"/>
                      </w:rPr>
                      <w:t>Covestro</w:t>
                    </w:r>
                    <w:r w:rsidR="00546259" w:rsidRPr="00B71BE2">
                      <w:rPr>
                        <w:lang w:val="de-DE"/>
                      </w:rPr>
                      <w:t xml:space="preserve"> </w:t>
                    </w:r>
                    <w:r w:rsidR="00DE15E6" w:rsidRPr="00B71BE2">
                      <w:rPr>
                        <w:lang w:val="de-DE"/>
                      </w:rPr>
                      <w:t>A</w:t>
                    </w:r>
                    <w:r w:rsidR="00670E26" w:rsidRPr="00B71BE2">
                      <w:rPr>
                        <w:lang w:val="de-DE"/>
                      </w:rPr>
                      <w:t>G</w:t>
                    </w:r>
                  </w:p>
                  <w:p w14:paraId="44DE6F70" w14:textId="77777777" w:rsidR="00670E26" w:rsidRPr="00B71BE2" w:rsidRDefault="00E663D9" w:rsidP="00670E26">
                    <w:pPr>
                      <w:pStyle w:val="MarginalGrey"/>
                      <w:rPr>
                        <w:lang w:val="de-DE"/>
                      </w:rPr>
                    </w:pPr>
                    <w:r w:rsidRPr="00B71BE2">
                      <w:rPr>
                        <w:lang w:val="de-DE"/>
                      </w:rPr>
                      <w:t>Communications</w:t>
                    </w:r>
                  </w:p>
                  <w:p w14:paraId="2465EA24" w14:textId="77777777" w:rsidR="00670E26" w:rsidRPr="00B71BE2" w:rsidRDefault="00E663D9" w:rsidP="00670E26">
                    <w:pPr>
                      <w:pStyle w:val="MarginalGrey"/>
                      <w:rPr>
                        <w:lang w:val="de-DE"/>
                      </w:rPr>
                    </w:pPr>
                    <w:r w:rsidRPr="00B71BE2">
                      <w:rPr>
                        <w:lang w:val="de-DE"/>
                      </w:rPr>
                      <w:t>51365 Leverkusen</w:t>
                    </w:r>
                  </w:p>
                  <w:p w14:paraId="74D4215F" w14:textId="77777777" w:rsidR="00670E26" w:rsidRPr="00B71BE2" w:rsidRDefault="00670E26" w:rsidP="00670E26">
                    <w:pPr>
                      <w:pStyle w:val="MarginalGrey"/>
                      <w:rPr>
                        <w:lang w:val="de-DE"/>
                      </w:rPr>
                    </w:pPr>
                  </w:p>
                  <w:p w14:paraId="09111F7E" w14:textId="77777777" w:rsidR="00670E26" w:rsidRPr="00B71BE2" w:rsidRDefault="00670E26" w:rsidP="00670E26">
                    <w:pPr>
                      <w:pStyle w:val="MarginalGrey"/>
                      <w:rPr>
                        <w:lang w:val="de-DE"/>
                      </w:rPr>
                    </w:pPr>
                  </w:p>
                  <w:p w14:paraId="70F1E07D" w14:textId="77777777" w:rsidR="00670E26" w:rsidRPr="00B71BE2" w:rsidRDefault="00670E26" w:rsidP="00670E26">
                    <w:pPr>
                      <w:pStyle w:val="MarginalSubheadline"/>
                      <w:rPr>
                        <w:lang w:val="de-DE"/>
                      </w:rPr>
                    </w:pPr>
                    <w:r w:rsidRPr="00B71BE2">
                      <w:rPr>
                        <w:lang w:val="de-DE"/>
                      </w:rPr>
                      <w:t>Ansprechpartner</w:t>
                    </w:r>
                  </w:p>
                  <w:p w14:paraId="0A3E12B3" w14:textId="7FFEEEA5" w:rsidR="00670E26" w:rsidRPr="00B71BE2" w:rsidRDefault="00B14B19" w:rsidP="00670E26">
                    <w:pPr>
                      <w:pStyle w:val="MarginalGrey"/>
                      <w:rPr>
                        <w:lang w:val="nl-NL"/>
                      </w:rPr>
                    </w:pPr>
                    <w:r w:rsidRPr="00B71BE2">
                      <w:rPr>
                        <w:lang w:val="nl-NL"/>
                      </w:rPr>
                      <w:t>Lars Boelke</w:t>
                    </w:r>
                  </w:p>
                  <w:p w14:paraId="0A60171A" w14:textId="77777777" w:rsidR="00670E26" w:rsidRPr="00B71BE2" w:rsidRDefault="00670E26" w:rsidP="00670E26">
                    <w:pPr>
                      <w:pStyle w:val="MarginalSubheadline"/>
                      <w:rPr>
                        <w:lang w:val="nl-NL"/>
                      </w:rPr>
                    </w:pPr>
                    <w:r w:rsidRPr="00B71BE2">
                      <w:rPr>
                        <w:lang w:val="nl-NL"/>
                      </w:rPr>
                      <w:t>Telefon</w:t>
                    </w:r>
                  </w:p>
                  <w:p w14:paraId="2362EB28" w14:textId="052C2B73" w:rsidR="00670E26" w:rsidRPr="00B71BE2" w:rsidRDefault="00670E26" w:rsidP="00670E26">
                    <w:pPr>
                      <w:pStyle w:val="MarginalGrey"/>
                      <w:rPr>
                        <w:lang w:val="nl-NL"/>
                      </w:rPr>
                    </w:pPr>
                    <w:r w:rsidRPr="00B71BE2">
                      <w:rPr>
                        <w:spacing w:val="-20"/>
                        <w:position w:val="6"/>
                        <w:sz w:val="14"/>
                        <w:lang w:val="nl-NL"/>
                      </w:rPr>
                      <w:t>+</w:t>
                    </w:r>
                    <w:r w:rsidRPr="00B71BE2">
                      <w:rPr>
                        <w:lang w:val="nl-NL"/>
                      </w:rPr>
                      <w:t xml:space="preserve">49 </w:t>
                    </w:r>
                    <w:r w:rsidR="007648C9" w:rsidRPr="00B71BE2">
                      <w:rPr>
                        <w:lang w:val="nl-NL"/>
                      </w:rPr>
                      <w:t>152 28860494</w:t>
                    </w:r>
                  </w:p>
                  <w:p w14:paraId="24E4258A" w14:textId="77777777" w:rsidR="00670E26" w:rsidRPr="00B71BE2" w:rsidRDefault="00670E26" w:rsidP="00670E26">
                    <w:pPr>
                      <w:pStyle w:val="MarginalSubheadline"/>
                      <w:rPr>
                        <w:lang w:val="nl-NL"/>
                      </w:rPr>
                    </w:pPr>
                    <w:r w:rsidRPr="00B71BE2">
                      <w:rPr>
                        <w:lang w:val="nl-NL"/>
                      </w:rPr>
                      <w:t>E-Mail</w:t>
                    </w:r>
                  </w:p>
                  <w:p w14:paraId="5F80E7F6" w14:textId="19AA8D15" w:rsidR="00670E26" w:rsidRPr="00B71BE2" w:rsidRDefault="00B14B19" w:rsidP="00670E26">
                    <w:pPr>
                      <w:pStyle w:val="MarginalGrey"/>
                      <w:rPr>
                        <w:lang w:val="nl-NL"/>
                      </w:rPr>
                    </w:pPr>
                    <w:r w:rsidRPr="00B71BE2">
                      <w:rPr>
                        <w:lang w:val="nl-NL"/>
                      </w:rPr>
                      <w:t>Lars.Boelke</w:t>
                    </w:r>
                  </w:p>
                  <w:p w14:paraId="6F4FB77C" w14:textId="77777777" w:rsidR="00670E26" w:rsidRPr="00B71BE2" w:rsidRDefault="00670E26" w:rsidP="00670E26">
                    <w:pPr>
                      <w:pStyle w:val="MarginalGrey"/>
                      <w:rPr>
                        <w:lang w:val="nl-NL"/>
                      </w:rPr>
                    </w:pPr>
                    <w:r w:rsidRPr="00B71BE2">
                      <w:rPr>
                        <w:lang w:val="nl-NL"/>
                      </w:rPr>
                      <w:t>@covestro.com</w:t>
                    </w:r>
                  </w:p>
                  <w:p w14:paraId="603EF832" w14:textId="77777777" w:rsidR="00670E26" w:rsidRPr="00B71BE2" w:rsidRDefault="00670E26" w:rsidP="00670E26">
                    <w:pPr>
                      <w:pStyle w:val="MarginalGrey"/>
                      <w:rPr>
                        <w:lang w:val="nl-NL"/>
                      </w:rPr>
                    </w:pPr>
                  </w:p>
                  <w:p w14:paraId="1B54B78D" w14:textId="1E506512" w:rsidR="00B14B19" w:rsidRPr="00B71BE2" w:rsidRDefault="00B14B19" w:rsidP="00B14B19">
                    <w:pPr>
                      <w:pStyle w:val="MarginalSubheadline"/>
                      <w:rPr>
                        <w:lang w:val="it-IT"/>
                      </w:rPr>
                    </w:pPr>
                    <w:r w:rsidRPr="00B71BE2">
                      <w:rPr>
                        <w:lang w:val="it-IT"/>
                      </w:rPr>
                      <w:t>Ansprechpartnerin</w:t>
                    </w:r>
                  </w:p>
                  <w:p w14:paraId="1C125E16" w14:textId="5E81D4D6" w:rsidR="00B14B19" w:rsidRPr="00B71BE2" w:rsidRDefault="00B14B19" w:rsidP="00B14B19">
                    <w:pPr>
                      <w:pStyle w:val="MarginalGrey"/>
                      <w:rPr>
                        <w:lang w:val="it-IT"/>
                      </w:rPr>
                    </w:pPr>
                    <w:r w:rsidRPr="00B71BE2">
                      <w:rPr>
                        <w:lang w:val="it-IT"/>
                      </w:rPr>
                      <w:t>Svenja Paul</w:t>
                    </w:r>
                  </w:p>
                  <w:p w14:paraId="07B03EDF" w14:textId="77777777" w:rsidR="00B14B19" w:rsidRPr="00B71BE2" w:rsidRDefault="00B14B19" w:rsidP="00B14B19">
                    <w:pPr>
                      <w:pStyle w:val="MarginalSubheadline"/>
                      <w:rPr>
                        <w:lang w:val="it-IT"/>
                      </w:rPr>
                    </w:pPr>
                    <w:r w:rsidRPr="00B71BE2">
                      <w:rPr>
                        <w:lang w:val="it-IT"/>
                      </w:rPr>
                      <w:t>Telefon</w:t>
                    </w:r>
                  </w:p>
                  <w:p w14:paraId="0F68B26D" w14:textId="5AA8B03C" w:rsidR="00B14B19" w:rsidRPr="00B71BE2" w:rsidRDefault="00B14B19" w:rsidP="00B14B19">
                    <w:pPr>
                      <w:pStyle w:val="MarginalGrey"/>
                      <w:rPr>
                        <w:lang w:val="it-IT"/>
                      </w:rPr>
                    </w:pPr>
                    <w:r w:rsidRPr="00B71BE2">
                      <w:rPr>
                        <w:spacing w:val="-20"/>
                        <w:position w:val="6"/>
                        <w:sz w:val="14"/>
                        <w:lang w:val="it-IT"/>
                      </w:rPr>
                      <w:t>+</w:t>
                    </w:r>
                    <w:r w:rsidRPr="00B71BE2">
                      <w:rPr>
                        <w:lang w:val="it-IT"/>
                      </w:rPr>
                      <w:t xml:space="preserve">49 </w:t>
                    </w:r>
                    <w:r w:rsidR="00B868A4" w:rsidRPr="00B71BE2">
                      <w:rPr>
                        <w:lang w:val="it-IT"/>
                      </w:rPr>
                      <w:t>17</w:t>
                    </w:r>
                    <w:r w:rsidR="004E1BE5" w:rsidRPr="00B71BE2">
                      <w:rPr>
                        <w:lang w:val="it-IT"/>
                      </w:rPr>
                      <w:t>3 3056862</w:t>
                    </w:r>
                  </w:p>
                  <w:p w14:paraId="3E91C907" w14:textId="77777777" w:rsidR="00B14B19" w:rsidRPr="00B71BE2" w:rsidRDefault="00B14B19" w:rsidP="00B14B19">
                    <w:pPr>
                      <w:pStyle w:val="MarginalSubheadline"/>
                      <w:rPr>
                        <w:lang w:val="it-IT"/>
                      </w:rPr>
                    </w:pPr>
                    <w:r w:rsidRPr="00B71BE2">
                      <w:rPr>
                        <w:lang w:val="it-IT"/>
                      </w:rPr>
                      <w:t>E-Mail</w:t>
                    </w:r>
                  </w:p>
                  <w:p w14:paraId="79D9EBAE" w14:textId="6EFC13FF" w:rsidR="00B14B19" w:rsidRPr="00B71BE2" w:rsidRDefault="00B14B19" w:rsidP="00B14B19">
                    <w:pPr>
                      <w:pStyle w:val="MarginalGrey"/>
                      <w:rPr>
                        <w:lang w:val="it-IT"/>
                      </w:rPr>
                    </w:pPr>
                    <w:r w:rsidRPr="00B71BE2">
                      <w:rPr>
                        <w:lang w:val="it-IT"/>
                      </w:rPr>
                      <w:t>Svenja.Paul</w:t>
                    </w:r>
                  </w:p>
                  <w:p w14:paraId="38335FC2" w14:textId="6DB13925" w:rsidR="00B14B19" w:rsidRPr="00435660" w:rsidRDefault="00B14B19" w:rsidP="00B14B19">
                    <w:pPr>
                      <w:pStyle w:val="MarginalGrey"/>
                      <w:rPr>
                        <w:lang w:val="en-US"/>
                      </w:rPr>
                    </w:pPr>
                    <w:r w:rsidRPr="00435660">
                      <w:rPr>
                        <w:lang w:val="en-US"/>
                      </w:rPr>
                      <w:t>@covestro.com</w:t>
                    </w:r>
                  </w:p>
                  <w:p w14:paraId="04C7DE66" w14:textId="68A5B910" w:rsidR="00D30790" w:rsidRPr="000F5831" w:rsidRDefault="00D30790" w:rsidP="00D30790">
                    <w:pPr>
                      <w:pStyle w:val="MarginalGrey"/>
                      <w:rPr>
                        <w:lang w:val="nl-NL"/>
                      </w:rPr>
                    </w:pPr>
                  </w:p>
                  <w:p w14:paraId="32399F35" w14:textId="77777777" w:rsidR="00D30790" w:rsidRPr="00E663D9" w:rsidRDefault="00D30790" w:rsidP="00B14B19">
                    <w:pPr>
                      <w:pStyle w:val="MarginalGrey"/>
                      <w:rPr>
                        <w:lang w:val="de-DE"/>
                      </w:rPr>
                    </w:pPr>
                  </w:p>
                  <w:p w14:paraId="6C3DD657" w14:textId="77777777" w:rsidR="00B14B19" w:rsidRPr="00E663D9" w:rsidRDefault="00B14B19" w:rsidP="00B14B19">
                    <w:pPr>
                      <w:pStyle w:val="MarginalGrey"/>
                      <w:rPr>
                        <w:lang w:val="de-DE"/>
                      </w:rPr>
                    </w:pPr>
                  </w:p>
                  <w:p w14:paraId="6AC48295" w14:textId="77777777" w:rsidR="00670E26" w:rsidRPr="00E663D9" w:rsidRDefault="00670E26" w:rsidP="00670E26">
                    <w:pPr>
                      <w:pStyle w:val="MarginalGrey"/>
                      <w:rPr>
                        <w:lang w:val="de-DE"/>
                      </w:rPr>
                    </w:pPr>
                  </w:p>
                  <w:p w14:paraId="0FD287F7"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6A028C4A" wp14:editId="7ECCF1F5">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7244E5E7" w14:textId="77777777" w:rsidR="00670E26" w:rsidRPr="00AC47B7" w:rsidRDefault="00670E26" w:rsidP="00670E26">
                          <w:pPr>
                            <w:pStyle w:val="Title"/>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28C4A"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7244E5E7"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176B469B" wp14:editId="098072DE">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C882214"/>
    <w:multiLevelType w:val="multilevel"/>
    <w:tmpl w:val="208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112F9"/>
    <w:multiLevelType w:val="hybridMultilevel"/>
    <w:tmpl w:val="D4B6D926"/>
    <w:lvl w:ilvl="0" w:tplc="80FCD7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3C784A"/>
    <w:multiLevelType w:val="hybridMultilevel"/>
    <w:tmpl w:val="20F6C3A4"/>
    <w:lvl w:ilvl="0" w:tplc="80FCD7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CA5"/>
    <w:rsid w:val="00001765"/>
    <w:rsid w:val="00013985"/>
    <w:rsid w:val="000158AA"/>
    <w:rsid w:val="00016B26"/>
    <w:rsid w:val="0001712A"/>
    <w:rsid w:val="0001764D"/>
    <w:rsid w:val="00017840"/>
    <w:rsid w:val="00017E19"/>
    <w:rsid w:val="00020437"/>
    <w:rsid w:val="00020AF5"/>
    <w:rsid w:val="00020E80"/>
    <w:rsid w:val="000232EB"/>
    <w:rsid w:val="000239B4"/>
    <w:rsid w:val="00024BA5"/>
    <w:rsid w:val="0003216A"/>
    <w:rsid w:val="00032982"/>
    <w:rsid w:val="00032A57"/>
    <w:rsid w:val="00032F6C"/>
    <w:rsid w:val="00034B5D"/>
    <w:rsid w:val="0003576A"/>
    <w:rsid w:val="0003585A"/>
    <w:rsid w:val="000370D4"/>
    <w:rsid w:val="0004011D"/>
    <w:rsid w:val="00042689"/>
    <w:rsid w:val="00044112"/>
    <w:rsid w:val="00045047"/>
    <w:rsid w:val="00050CBD"/>
    <w:rsid w:val="00050EAD"/>
    <w:rsid w:val="000542DF"/>
    <w:rsid w:val="0005628F"/>
    <w:rsid w:val="000573B6"/>
    <w:rsid w:val="000602CD"/>
    <w:rsid w:val="00060F26"/>
    <w:rsid w:val="00061585"/>
    <w:rsid w:val="000631A5"/>
    <w:rsid w:val="000633B4"/>
    <w:rsid w:val="00064D63"/>
    <w:rsid w:val="00065A4E"/>
    <w:rsid w:val="0007032E"/>
    <w:rsid w:val="00072F6C"/>
    <w:rsid w:val="00074DC5"/>
    <w:rsid w:val="000810FD"/>
    <w:rsid w:val="000827B1"/>
    <w:rsid w:val="000833DE"/>
    <w:rsid w:val="00085F89"/>
    <w:rsid w:val="00087840"/>
    <w:rsid w:val="000920F4"/>
    <w:rsid w:val="00092E17"/>
    <w:rsid w:val="00096B9F"/>
    <w:rsid w:val="00096DCF"/>
    <w:rsid w:val="000A046C"/>
    <w:rsid w:val="000A2F3D"/>
    <w:rsid w:val="000A5361"/>
    <w:rsid w:val="000A564E"/>
    <w:rsid w:val="000A5855"/>
    <w:rsid w:val="000A58DB"/>
    <w:rsid w:val="000A5CA3"/>
    <w:rsid w:val="000A6E29"/>
    <w:rsid w:val="000A751A"/>
    <w:rsid w:val="000A7938"/>
    <w:rsid w:val="000B04F1"/>
    <w:rsid w:val="000B0AAD"/>
    <w:rsid w:val="000B3BDF"/>
    <w:rsid w:val="000B444F"/>
    <w:rsid w:val="000B46E9"/>
    <w:rsid w:val="000B4C11"/>
    <w:rsid w:val="000B608F"/>
    <w:rsid w:val="000B66EB"/>
    <w:rsid w:val="000B7C08"/>
    <w:rsid w:val="000C0560"/>
    <w:rsid w:val="000C0601"/>
    <w:rsid w:val="000C0E2F"/>
    <w:rsid w:val="000C2327"/>
    <w:rsid w:val="000C50F0"/>
    <w:rsid w:val="000C5141"/>
    <w:rsid w:val="000C56D5"/>
    <w:rsid w:val="000C62E8"/>
    <w:rsid w:val="000D0A49"/>
    <w:rsid w:val="000D0E82"/>
    <w:rsid w:val="000D6590"/>
    <w:rsid w:val="000D77E5"/>
    <w:rsid w:val="000E070B"/>
    <w:rsid w:val="000E077A"/>
    <w:rsid w:val="000E0F7E"/>
    <w:rsid w:val="000E2848"/>
    <w:rsid w:val="000E2C00"/>
    <w:rsid w:val="000E3FB6"/>
    <w:rsid w:val="000E67EB"/>
    <w:rsid w:val="000E7685"/>
    <w:rsid w:val="000E7757"/>
    <w:rsid w:val="000F0027"/>
    <w:rsid w:val="000F2DB5"/>
    <w:rsid w:val="000F307B"/>
    <w:rsid w:val="000F5201"/>
    <w:rsid w:val="00103257"/>
    <w:rsid w:val="0010345D"/>
    <w:rsid w:val="001049A6"/>
    <w:rsid w:val="0010575E"/>
    <w:rsid w:val="00105FE7"/>
    <w:rsid w:val="00106178"/>
    <w:rsid w:val="00106B40"/>
    <w:rsid w:val="00115097"/>
    <w:rsid w:val="001156A7"/>
    <w:rsid w:val="00116ACF"/>
    <w:rsid w:val="00117E89"/>
    <w:rsid w:val="00120090"/>
    <w:rsid w:val="0012106D"/>
    <w:rsid w:val="001224FC"/>
    <w:rsid w:val="00123A90"/>
    <w:rsid w:val="00123D75"/>
    <w:rsid w:val="00123FF0"/>
    <w:rsid w:val="00126494"/>
    <w:rsid w:val="001265C3"/>
    <w:rsid w:val="001268A0"/>
    <w:rsid w:val="00127E0A"/>
    <w:rsid w:val="0013034B"/>
    <w:rsid w:val="001333E1"/>
    <w:rsid w:val="00134043"/>
    <w:rsid w:val="0013745E"/>
    <w:rsid w:val="00144CFB"/>
    <w:rsid w:val="00147157"/>
    <w:rsid w:val="00150FA5"/>
    <w:rsid w:val="0015231E"/>
    <w:rsid w:val="00152E4F"/>
    <w:rsid w:val="00153931"/>
    <w:rsid w:val="00153E2E"/>
    <w:rsid w:val="00163F6F"/>
    <w:rsid w:val="0017006A"/>
    <w:rsid w:val="00174B1B"/>
    <w:rsid w:val="0017765B"/>
    <w:rsid w:val="00183D21"/>
    <w:rsid w:val="0018509C"/>
    <w:rsid w:val="00190369"/>
    <w:rsid w:val="00192225"/>
    <w:rsid w:val="00193AD8"/>
    <w:rsid w:val="001955B5"/>
    <w:rsid w:val="00195CB3"/>
    <w:rsid w:val="00196673"/>
    <w:rsid w:val="001A13CA"/>
    <w:rsid w:val="001A180C"/>
    <w:rsid w:val="001A3D08"/>
    <w:rsid w:val="001A6117"/>
    <w:rsid w:val="001A696D"/>
    <w:rsid w:val="001B41BC"/>
    <w:rsid w:val="001B4948"/>
    <w:rsid w:val="001B53FD"/>
    <w:rsid w:val="001B599A"/>
    <w:rsid w:val="001B5C43"/>
    <w:rsid w:val="001B6571"/>
    <w:rsid w:val="001B660C"/>
    <w:rsid w:val="001C34EE"/>
    <w:rsid w:val="001C5363"/>
    <w:rsid w:val="001C560A"/>
    <w:rsid w:val="001D1CB5"/>
    <w:rsid w:val="001D2F4A"/>
    <w:rsid w:val="001D3D4E"/>
    <w:rsid w:val="001D54F2"/>
    <w:rsid w:val="001D7891"/>
    <w:rsid w:val="001E0258"/>
    <w:rsid w:val="001E486D"/>
    <w:rsid w:val="001E533F"/>
    <w:rsid w:val="001E6C50"/>
    <w:rsid w:val="001E76CF"/>
    <w:rsid w:val="001F13D6"/>
    <w:rsid w:val="001F1D3A"/>
    <w:rsid w:val="001F36B2"/>
    <w:rsid w:val="001F5429"/>
    <w:rsid w:val="001F5BFE"/>
    <w:rsid w:val="001F673F"/>
    <w:rsid w:val="001F7D20"/>
    <w:rsid w:val="00202052"/>
    <w:rsid w:val="0020593A"/>
    <w:rsid w:val="00211A5F"/>
    <w:rsid w:val="00211BCD"/>
    <w:rsid w:val="002153D9"/>
    <w:rsid w:val="00217AC4"/>
    <w:rsid w:val="002235A0"/>
    <w:rsid w:val="00223A0A"/>
    <w:rsid w:val="0022677C"/>
    <w:rsid w:val="0022758C"/>
    <w:rsid w:val="00232817"/>
    <w:rsid w:val="00234ACD"/>
    <w:rsid w:val="00240AD2"/>
    <w:rsid w:val="00243BD4"/>
    <w:rsid w:val="00244B44"/>
    <w:rsid w:val="002453E4"/>
    <w:rsid w:val="00245B4A"/>
    <w:rsid w:val="00246D85"/>
    <w:rsid w:val="00246F5A"/>
    <w:rsid w:val="00247F2E"/>
    <w:rsid w:val="00251345"/>
    <w:rsid w:val="00251F5D"/>
    <w:rsid w:val="002528EA"/>
    <w:rsid w:val="00252F7C"/>
    <w:rsid w:val="0025342C"/>
    <w:rsid w:val="00255890"/>
    <w:rsid w:val="00256EE5"/>
    <w:rsid w:val="0026058B"/>
    <w:rsid w:val="00260F70"/>
    <w:rsid w:val="00261F26"/>
    <w:rsid w:val="00263751"/>
    <w:rsid w:val="00272B37"/>
    <w:rsid w:val="002763C1"/>
    <w:rsid w:val="002766B7"/>
    <w:rsid w:val="00291F83"/>
    <w:rsid w:val="00292544"/>
    <w:rsid w:val="00295315"/>
    <w:rsid w:val="002A29F8"/>
    <w:rsid w:val="002A2FC6"/>
    <w:rsid w:val="002A3E5E"/>
    <w:rsid w:val="002A4439"/>
    <w:rsid w:val="002A72A9"/>
    <w:rsid w:val="002B4B6B"/>
    <w:rsid w:val="002B5AB2"/>
    <w:rsid w:val="002C35B8"/>
    <w:rsid w:val="002C3BA0"/>
    <w:rsid w:val="002C6051"/>
    <w:rsid w:val="002D0C55"/>
    <w:rsid w:val="002D367E"/>
    <w:rsid w:val="002D623D"/>
    <w:rsid w:val="002D6E4E"/>
    <w:rsid w:val="002E0293"/>
    <w:rsid w:val="002E0D8F"/>
    <w:rsid w:val="002E296D"/>
    <w:rsid w:val="002E4ED7"/>
    <w:rsid w:val="002E4F17"/>
    <w:rsid w:val="002E5565"/>
    <w:rsid w:val="002F1CCE"/>
    <w:rsid w:val="002F1E9A"/>
    <w:rsid w:val="002F40E6"/>
    <w:rsid w:val="002F4F4F"/>
    <w:rsid w:val="002F5BFD"/>
    <w:rsid w:val="00300FF7"/>
    <w:rsid w:val="0030350C"/>
    <w:rsid w:val="00303A5F"/>
    <w:rsid w:val="00304561"/>
    <w:rsid w:val="00306CA6"/>
    <w:rsid w:val="003077B7"/>
    <w:rsid w:val="00310EE5"/>
    <w:rsid w:val="00312ACE"/>
    <w:rsid w:val="003139A3"/>
    <w:rsid w:val="0031458D"/>
    <w:rsid w:val="0031549A"/>
    <w:rsid w:val="003165FC"/>
    <w:rsid w:val="003204A5"/>
    <w:rsid w:val="00320981"/>
    <w:rsid w:val="003211F7"/>
    <w:rsid w:val="00323883"/>
    <w:rsid w:val="00323931"/>
    <w:rsid w:val="0032668A"/>
    <w:rsid w:val="003307F9"/>
    <w:rsid w:val="0033256C"/>
    <w:rsid w:val="00333489"/>
    <w:rsid w:val="00335FDB"/>
    <w:rsid w:val="00341905"/>
    <w:rsid w:val="00345390"/>
    <w:rsid w:val="00346249"/>
    <w:rsid w:val="00346477"/>
    <w:rsid w:val="00350C7C"/>
    <w:rsid w:val="003546A8"/>
    <w:rsid w:val="00354F83"/>
    <w:rsid w:val="00355CC6"/>
    <w:rsid w:val="00356D58"/>
    <w:rsid w:val="003579FE"/>
    <w:rsid w:val="0036290A"/>
    <w:rsid w:val="00363398"/>
    <w:rsid w:val="00364CDD"/>
    <w:rsid w:val="003727BB"/>
    <w:rsid w:val="003738C0"/>
    <w:rsid w:val="00374302"/>
    <w:rsid w:val="00377B11"/>
    <w:rsid w:val="00381DDE"/>
    <w:rsid w:val="003837DC"/>
    <w:rsid w:val="00386865"/>
    <w:rsid w:val="00390D96"/>
    <w:rsid w:val="00390E65"/>
    <w:rsid w:val="00391609"/>
    <w:rsid w:val="00391804"/>
    <w:rsid w:val="003924A8"/>
    <w:rsid w:val="00393CFC"/>
    <w:rsid w:val="00394751"/>
    <w:rsid w:val="003949D5"/>
    <w:rsid w:val="0039541D"/>
    <w:rsid w:val="0039613C"/>
    <w:rsid w:val="00396DF6"/>
    <w:rsid w:val="00397A07"/>
    <w:rsid w:val="003A26AD"/>
    <w:rsid w:val="003A34BC"/>
    <w:rsid w:val="003A448D"/>
    <w:rsid w:val="003A4966"/>
    <w:rsid w:val="003A4A96"/>
    <w:rsid w:val="003A631A"/>
    <w:rsid w:val="003A7B52"/>
    <w:rsid w:val="003B04D9"/>
    <w:rsid w:val="003B1026"/>
    <w:rsid w:val="003C0EE0"/>
    <w:rsid w:val="003C473C"/>
    <w:rsid w:val="003C59BF"/>
    <w:rsid w:val="003C67DA"/>
    <w:rsid w:val="003C6EA9"/>
    <w:rsid w:val="003C7AD1"/>
    <w:rsid w:val="003D106E"/>
    <w:rsid w:val="003D18A6"/>
    <w:rsid w:val="003D4751"/>
    <w:rsid w:val="003D5BD7"/>
    <w:rsid w:val="003D6D0F"/>
    <w:rsid w:val="003D6E26"/>
    <w:rsid w:val="003E0BC8"/>
    <w:rsid w:val="003E2C65"/>
    <w:rsid w:val="003E36D0"/>
    <w:rsid w:val="003E3897"/>
    <w:rsid w:val="003E44DF"/>
    <w:rsid w:val="003E7167"/>
    <w:rsid w:val="003E73F6"/>
    <w:rsid w:val="003F3281"/>
    <w:rsid w:val="003F3B27"/>
    <w:rsid w:val="003F4F0E"/>
    <w:rsid w:val="003F58CD"/>
    <w:rsid w:val="003F5EDB"/>
    <w:rsid w:val="003F72F1"/>
    <w:rsid w:val="0040097C"/>
    <w:rsid w:val="0040156F"/>
    <w:rsid w:val="00401895"/>
    <w:rsid w:val="00403DB2"/>
    <w:rsid w:val="00404529"/>
    <w:rsid w:val="00405295"/>
    <w:rsid w:val="00405876"/>
    <w:rsid w:val="00413246"/>
    <w:rsid w:val="00416326"/>
    <w:rsid w:val="00417477"/>
    <w:rsid w:val="004200A1"/>
    <w:rsid w:val="00422A04"/>
    <w:rsid w:val="004237DA"/>
    <w:rsid w:val="0042427A"/>
    <w:rsid w:val="00424C50"/>
    <w:rsid w:val="00424CEC"/>
    <w:rsid w:val="004266AE"/>
    <w:rsid w:val="004312C4"/>
    <w:rsid w:val="004323AD"/>
    <w:rsid w:val="00432B84"/>
    <w:rsid w:val="00434B91"/>
    <w:rsid w:val="00435660"/>
    <w:rsid w:val="00436969"/>
    <w:rsid w:val="00436B61"/>
    <w:rsid w:val="00437A06"/>
    <w:rsid w:val="00440490"/>
    <w:rsid w:val="00443682"/>
    <w:rsid w:val="004444E9"/>
    <w:rsid w:val="004517C0"/>
    <w:rsid w:val="00452B08"/>
    <w:rsid w:val="00455403"/>
    <w:rsid w:val="004565DC"/>
    <w:rsid w:val="0046018C"/>
    <w:rsid w:val="004603EA"/>
    <w:rsid w:val="00471EA5"/>
    <w:rsid w:val="00473BC4"/>
    <w:rsid w:val="0047467A"/>
    <w:rsid w:val="00475EED"/>
    <w:rsid w:val="004762C8"/>
    <w:rsid w:val="00477089"/>
    <w:rsid w:val="00477CE5"/>
    <w:rsid w:val="004806EF"/>
    <w:rsid w:val="00482F75"/>
    <w:rsid w:val="00484FF6"/>
    <w:rsid w:val="00485A85"/>
    <w:rsid w:val="00485E83"/>
    <w:rsid w:val="00487B42"/>
    <w:rsid w:val="00487DC1"/>
    <w:rsid w:val="004900EA"/>
    <w:rsid w:val="00491060"/>
    <w:rsid w:val="00491625"/>
    <w:rsid w:val="0049261E"/>
    <w:rsid w:val="004A5836"/>
    <w:rsid w:val="004A5FFF"/>
    <w:rsid w:val="004A660A"/>
    <w:rsid w:val="004A7944"/>
    <w:rsid w:val="004B058D"/>
    <w:rsid w:val="004B106A"/>
    <w:rsid w:val="004B574D"/>
    <w:rsid w:val="004B7D8B"/>
    <w:rsid w:val="004C0DAB"/>
    <w:rsid w:val="004C1080"/>
    <w:rsid w:val="004C1EFB"/>
    <w:rsid w:val="004C3AD2"/>
    <w:rsid w:val="004D5A5C"/>
    <w:rsid w:val="004E1BE5"/>
    <w:rsid w:val="004E2BB2"/>
    <w:rsid w:val="004E39EA"/>
    <w:rsid w:val="004E3BF4"/>
    <w:rsid w:val="004E46E5"/>
    <w:rsid w:val="004E5AEA"/>
    <w:rsid w:val="004E6229"/>
    <w:rsid w:val="004F14A5"/>
    <w:rsid w:val="004F15EF"/>
    <w:rsid w:val="004F370E"/>
    <w:rsid w:val="00500AC3"/>
    <w:rsid w:val="00503979"/>
    <w:rsid w:val="00503B70"/>
    <w:rsid w:val="0050586A"/>
    <w:rsid w:val="00506892"/>
    <w:rsid w:val="00512212"/>
    <w:rsid w:val="005132B6"/>
    <w:rsid w:val="00514929"/>
    <w:rsid w:val="0052202A"/>
    <w:rsid w:val="00522A6E"/>
    <w:rsid w:val="005241A6"/>
    <w:rsid w:val="00525FB3"/>
    <w:rsid w:val="0053007D"/>
    <w:rsid w:val="00530926"/>
    <w:rsid w:val="00534782"/>
    <w:rsid w:val="00534805"/>
    <w:rsid w:val="0054045B"/>
    <w:rsid w:val="005421C3"/>
    <w:rsid w:val="0054238C"/>
    <w:rsid w:val="005440B9"/>
    <w:rsid w:val="00546259"/>
    <w:rsid w:val="005479D5"/>
    <w:rsid w:val="0055095E"/>
    <w:rsid w:val="00556407"/>
    <w:rsid w:val="005569C1"/>
    <w:rsid w:val="00557A27"/>
    <w:rsid w:val="00562695"/>
    <w:rsid w:val="00565EED"/>
    <w:rsid w:val="00571D78"/>
    <w:rsid w:val="00571F9E"/>
    <w:rsid w:val="00572F78"/>
    <w:rsid w:val="005800F7"/>
    <w:rsid w:val="005810B9"/>
    <w:rsid w:val="005813C6"/>
    <w:rsid w:val="00582F63"/>
    <w:rsid w:val="005834A9"/>
    <w:rsid w:val="00586525"/>
    <w:rsid w:val="005939A9"/>
    <w:rsid w:val="00596957"/>
    <w:rsid w:val="005A6DEA"/>
    <w:rsid w:val="005A7754"/>
    <w:rsid w:val="005A7F08"/>
    <w:rsid w:val="005C0A6E"/>
    <w:rsid w:val="005C713D"/>
    <w:rsid w:val="005C793D"/>
    <w:rsid w:val="005D16B5"/>
    <w:rsid w:val="005D3600"/>
    <w:rsid w:val="005D423E"/>
    <w:rsid w:val="005E0D5B"/>
    <w:rsid w:val="005E26DA"/>
    <w:rsid w:val="005E3117"/>
    <w:rsid w:val="005E54B7"/>
    <w:rsid w:val="005E7104"/>
    <w:rsid w:val="005E7610"/>
    <w:rsid w:val="005F0A82"/>
    <w:rsid w:val="005F1845"/>
    <w:rsid w:val="006011A8"/>
    <w:rsid w:val="006012E2"/>
    <w:rsid w:val="00602C57"/>
    <w:rsid w:val="0061035B"/>
    <w:rsid w:val="006175F8"/>
    <w:rsid w:val="00617C39"/>
    <w:rsid w:val="00621B29"/>
    <w:rsid w:val="00625D26"/>
    <w:rsid w:val="00631953"/>
    <w:rsid w:val="00631E9A"/>
    <w:rsid w:val="00634826"/>
    <w:rsid w:val="00636A9E"/>
    <w:rsid w:val="0064038E"/>
    <w:rsid w:val="00641CD7"/>
    <w:rsid w:val="0064204D"/>
    <w:rsid w:val="006446E7"/>
    <w:rsid w:val="00647F69"/>
    <w:rsid w:val="006517A6"/>
    <w:rsid w:val="00654947"/>
    <w:rsid w:val="00655C2D"/>
    <w:rsid w:val="00661AFB"/>
    <w:rsid w:val="00662C48"/>
    <w:rsid w:val="00664588"/>
    <w:rsid w:val="00665067"/>
    <w:rsid w:val="0066619D"/>
    <w:rsid w:val="00670E26"/>
    <w:rsid w:val="006724F8"/>
    <w:rsid w:val="006764B9"/>
    <w:rsid w:val="00677BAD"/>
    <w:rsid w:val="00677E89"/>
    <w:rsid w:val="00691529"/>
    <w:rsid w:val="006930CB"/>
    <w:rsid w:val="00695C41"/>
    <w:rsid w:val="00696362"/>
    <w:rsid w:val="006A0A7A"/>
    <w:rsid w:val="006A1F8A"/>
    <w:rsid w:val="006A3EFC"/>
    <w:rsid w:val="006B27CE"/>
    <w:rsid w:val="006B2942"/>
    <w:rsid w:val="006B310E"/>
    <w:rsid w:val="006B6796"/>
    <w:rsid w:val="006C510D"/>
    <w:rsid w:val="006D2C0B"/>
    <w:rsid w:val="006D2E6E"/>
    <w:rsid w:val="006D6174"/>
    <w:rsid w:val="006D6285"/>
    <w:rsid w:val="006D779C"/>
    <w:rsid w:val="006E2F15"/>
    <w:rsid w:val="006F364C"/>
    <w:rsid w:val="006F5C6B"/>
    <w:rsid w:val="006F63BE"/>
    <w:rsid w:val="007078CF"/>
    <w:rsid w:val="007107C7"/>
    <w:rsid w:val="00711517"/>
    <w:rsid w:val="00713388"/>
    <w:rsid w:val="00713937"/>
    <w:rsid w:val="0071479A"/>
    <w:rsid w:val="00715731"/>
    <w:rsid w:val="00717773"/>
    <w:rsid w:val="00720424"/>
    <w:rsid w:val="00722854"/>
    <w:rsid w:val="00722E79"/>
    <w:rsid w:val="007242EA"/>
    <w:rsid w:val="00725F9D"/>
    <w:rsid w:val="00727E70"/>
    <w:rsid w:val="007341D9"/>
    <w:rsid w:val="0073655E"/>
    <w:rsid w:val="00744540"/>
    <w:rsid w:val="00744F33"/>
    <w:rsid w:val="007450F2"/>
    <w:rsid w:val="007468E7"/>
    <w:rsid w:val="00746AE9"/>
    <w:rsid w:val="00747C3E"/>
    <w:rsid w:val="00752DBB"/>
    <w:rsid w:val="00754714"/>
    <w:rsid w:val="00756AF8"/>
    <w:rsid w:val="00761276"/>
    <w:rsid w:val="007626EE"/>
    <w:rsid w:val="007627BC"/>
    <w:rsid w:val="00762D39"/>
    <w:rsid w:val="007648C9"/>
    <w:rsid w:val="00765D82"/>
    <w:rsid w:val="00766448"/>
    <w:rsid w:val="00766CFF"/>
    <w:rsid w:val="00767B54"/>
    <w:rsid w:val="00770EE5"/>
    <w:rsid w:val="00771486"/>
    <w:rsid w:val="007721D1"/>
    <w:rsid w:val="00784B3D"/>
    <w:rsid w:val="00784BB0"/>
    <w:rsid w:val="00784D4F"/>
    <w:rsid w:val="0078754A"/>
    <w:rsid w:val="00787C50"/>
    <w:rsid w:val="00790C98"/>
    <w:rsid w:val="00792C55"/>
    <w:rsid w:val="007A0186"/>
    <w:rsid w:val="007A0372"/>
    <w:rsid w:val="007A0F63"/>
    <w:rsid w:val="007A1F58"/>
    <w:rsid w:val="007A29AE"/>
    <w:rsid w:val="007A3C57"/>
    <w:rsid w:val="007A3FCF"/>
    <w:rsid w:val="007A4A0A"/>
    <w:rsid w:val="007A7855"/>
    <w:rsid w:val="007B16AF"/>
    <w:rsid w:val="007B1A72"/>
    <w:rsid w:val="007B3546"/>
    <w:rsid w:val="007C248B"/>
    <w:rsid w:val="007C28A4"/>
    <w:rsid w:val="007C5797"/>
    <w:rsid w:val="007C69DD"/>
    <w:rsid w:val="007C7C31"/>
    <w:rsid w:val="007C7EFF"/>
    <w:rsid w:val="007D1019"/>
    <w:rsid w:val="007D2873"/>
    <w:rsid w:val="007D3CF4"/>
    <w:rsid w:val="007D46FF"/>
    <w:rsid w:val="007D4722"/>
    <w:rsid w:val="007E4394"/>
    <w:rsid w:val="007F1A74"/>
    <w:rsid w:val="007F7567"/>
    <w:rsid w:val="00800B44"/>
    <w:rsid w:val="0080377A"/>
    <w:rsid w:val="00804E6E"/>
    <w:rsid w:val="0080549E"/>
    <w:rsid w:val="0081015D"/>
    <w:rsid w:val="00810AEB"/>
    <w:rsid w:val="00816EB7"/>
    <w:rsid w:val="008173D7"/>
    <w:rsid w:val="0082015F"/>
    <w:rsid w:val="0082080C"/>
    <w:rsid w:val="008217A3"/>
    <w:rsid w:val="00821871"/>
    <w:rsid w:val="008302FF"/>
    <w:rsid w:val="0083074A"/>
    <w:rsid w:val="00830BE2"/>
    <w:rsid w:val="00831AE1"/>
    <w:rsid w:val="008362A4"/>
    <w:rsid w:val="008373B3"/>
    <w:rsid w:val="00841A7A"/>
    <w:rsid w:val="00843EC3"/>
    <w:rsid w:val="008448D3"/>
    <w:rsid w:val="00845AAD"/>
    <w:rsid w:val="00847C32"/>
    <w:rsid w:val="00847E8A"/>
    <w:rsid w:val="00850CD0"/>
    <w:rsid w:val="008517F1"/>
    <w:rsid w:val="008521C4"/>
    <w:rsid w:val="008529F2"/>
    <w:rsid w:val="008542A2"/>
    <w:rsid w:val="008544C3"/>
    <w:rsid w:val="00856C48"/>
    <w:rsid w:val="008607FA"/>
    <w:rsid w:val="0086228F"/>
    <w:rsid w:val="00866960"/>
    <w:rsid w:val="008718DC"/>
    <w:rsid w:val="008745D2"/>
    <w:rsid w:val="00877535"/>
    <w:rsid w:val="0088087C"/>
    <w:rsid w:val="00882FBD"/>
    <w:rsid w:val="00883689"/>
    <w:rsid w:val="00883985"/>
    <w:rsid w:val="00887C42"/>
    <w:rsid w:val="00892B6E"/>
    <w:rsid w:val="00892FBA"/>
    <w:rsid w:val="008944EE"/>
    <w:rsid w:val="00895B06"/>
    <w:rsid w:val="00897B73"/>
    <w:rsid w:val="008A14BA"/>
    <w:rsid w:val="008A291F"/>
    <w:rsid w:val="008A2D5C"/>
    <w:rsid w:val="008A4957"/>
    <w:rsid w:val="008A4F91"/>
    <w:rsid w:val="008A5146"/>
    <w:rsid w:val="008A5526"/>
    <w:rsid w:val="008A5E72"/>
    <w:rsid w:val="008B1667"/>
    <w:rsid w:val="008B264F"/>
    <w:rsid w:val="008B3133"/>
    <w:rsid w:val="008B3260"/>
    <w:rsid w:val="008B53EE"/>
    <w:rsid w:val="008B5D36"/>
    <w:rsid w:val="008B7805"/>
    <w:rsid w:val="008C0ABA"/>
    <w:rsid w:val="008C19B7"/>
    <w:rsid w:val="008C4C28"/>
    <w:rsid w:val="008C5328"/>
    <w:rsid w:val="008C56D5"/>
    <w:rsid w:val="008D0A03"/>
    <w:rsid w:val="008D51D0"/>
    <w:rsid w:val="008E124C"/>
    <w:rsid w:val="008E26C3"/>
    <w:rsid w:val="008E5A67"/>
    <w:rsid w:val="008E6487"/>
    <w:rsid w:val="008E76FE"/>
    <w:rsid w:val="008F016E"/>
    <w:rsid w:val="008F0FF9"/>
    <w:rsid w:val="008F1D89"/>
    <w:rsid w:val="008F5A4E"/>
    <w:rsid w:val="009020ED"/>
    <w:rsid w:val="00903143"/>
    <w:rsid w:val="00904DA2"/>
    <w:rsid w:val="00904F7F"/>
    <w:rsid w:val="009065AF"/>
    <w:rsid w:val="00906EC7"/>
    <w:rsid w:val="00910F40"/>
    <w:rsid w:val="00913ABB"/>
    <w:rsid w:val="009157A7"/>
    <w:rsid w:val="00915C16"/>
    <w:rsid w:val="00915E51"/>
    <w:rsid w:val="00916455"/>
    <w:rsid w:val="00916610"/>
    <w:rsid w:val="0092239F"/>
    <w:rsid w:val="00924D0C"/>
    <w:rsid w:val="00925B61"/>
    <w:rsid w:val="0092797B"/>
    <w:rsid w:val="00930902"/>
    <w:rsid w:val="00934DFD"/>
    <w:rsid w:val="00934ED9"/>
    <w:rsid w:val="009356B9"/>
    <w:rsid w:val="009365D1"/>
    <w:rsid w:val="00940000"/>
    <w:rsid w:val="009410EB"/>
    <w:rsid w:val="00941377"/>
    <w:rsid w:val="00942B3B"/>
    <w:rsid w:val="0094420A"/>
    <w:rsid w:val="00944E7E"/>
    <w:rsid w:val="009458AA"/>
    <w:rsid w:val="00950177"/>
    <w:rsid w:val="00954791"/>
    <w:rsid w:val="00957CEC"/>
    <w:rsid w:val="0096052A"/>
    <w:rsid w:val="00963492"/>
    <w:rsid w:val="009647FA"/>
    <w:rsid w:val="009675A6"/>
    <w:rsid w:val="009757D6"/>
    <w:rsid w:val="00975CE0"/>
    <w:rsid w:val="00977B95"/>
    <w:rsid w:val="00981306"/>
    <w:rsid w:val="009817BF"/>
    <w:rsid w:val="0098774A"/>
    <w:rsid w:val="00987DBD"/>
    <w:rsid w:val="009907B7"/>
    <w:rsid w:val="009933C5"/>
    <w:rsid w:val="00995020"/>
    <w:rsid w:val="0099526C"/>
    <w:rsid w:val="00995E9E"/>
    <w:rsid w:val="00997D41"/>
    <w:rsid w:val="009B183A"/>
    <w:rsid w:val="009B18CC"/>
    <w:rsid w:val="009B1AB9"/>
    <w:rsid w:val="009B1C22"/>
    <w:rsid w:val="009B3504"/>
    <w:rsid w:val="009B3C87"/>
    <w:rsid w:val="009B54F3"/>
    <w:rsid w:val="009B60F6"/>
    <w:rsid w:val="009B649D"/>
    <w:rsid w:val="009C1DE9"/>
    <w:rsid w:val="009C2428"/>
    <w:rsid w:val="009D29A0"/>
    <w:rsid w:val="009D2C8A"/>
    <w:rsid w:val="009D2F45"/>
    <w:rsid w:val="009D4AAC"/>
    <w:rsid w:val="009D60D6"/>
    <w:rsid w:val="009D6BEA"/>
    <w:rsid w:val="009D790A"/>
    <w:rsid w:val="009E18FF"/>
    <w:rsid w:val="009E6F4E"/>
    <w:rsid w:val="009F03BB"/>
    <w:rsid w:val="009F2FA1"/>
    <w:rsid w:val="00A03276"/>
    <w:rsid w:val="00A03331"/>
    <w:rsid w:val="00A136BD"/>
    <w:rsid w:val="00A1490B"/>
    <w:rsid w:val="00A14F6E"/>
    <w:rsid w:val="00A155AC"/>
    <w:rsid w:val="00A15AAE"/>
    <w:rsid w:val="00A16D94"/>
    <w:rsid w:val="00A2047D"/>
    <w:rsid w:val="00A21971"/>
    <w:rsid w:val="00A22792"/>
    <w:rsid w:val="00A2672D"/>
    <w:rsid w:val="00A267CC"/>
    <w:rsid w:val="00A270E2"/>
    <w:rsid w:val="00A27F8E"/>
    <w:rsid w:val="00A364DF"/>
    <w:rsid w:val="00A40441"/>
    <w:rsid w:val="00A407AF"/>
    <w:rsid w:val="00A40E29"/>
    <w:rsid w:val="00A45107"/>
    <w:rsid w:val="00A4526D"/>
    <w:rsid w:val="00A45A18"/>
    <w:rsid w:val="00A5274E"/>
    <w:rsid w:val="00A53D2C"/>
    <w:rsid w:val="00A61D91"/>
    <w:rsid w:val="00A6229D"/>
    <w:rsid w:val="00A623AC"/>
    <w:rsid w:val="00A643A1"/>
    <w:rsid w:val="00A64C9B"/>
    <w:rsid w:val="00A72C41"/>
    <w:rsid w:val="00A72D03"/>
    <w:rsid w:val="00A73885"/>
    <w:rsid w:val="00A74E4F"/>
    <w:rsid w:val="00A75B61"/>
    <w:rsid w:val="00A77945"/>
    <w:rsid w:val="00A83D0F"/>
    <w:rsid w:val="00A86CFB"/>
    <w:rsid w:val="00A87C66"/>
    <w:rsid w:val="00A906FC"/>
    <w:rsid w:val="00A90F3A"/>
    <w:rsid w:val="00A922CB"/>
    <w:rsid w:val="00A9489E"/>
    <w:rsid w:val="00AA0D14"/>
    <w:rsid w:val="00AA400A"/>
    <w:rsid w:val="00AA484F"/>
    <w:rsid w:val="00AB03A0"/>
    <w:rsid w:val="00AB2BDE"/>
    <w:rsid w:val="00AB564F"/>
    <w:rsid w:val="00AC011D"/>
    <w:rsid w:val="00AC014C"/>
    <w:rsid w:val="00AC08FB"/>
    <w:rsid w:val="00AC1A93"/>
    <w:rsid w:val="00AC212D"/>
    <w:rsid w:val="00AC2DE7"/>
    <w:rsid w:val="00AC47B7"/>
    <w:rsid w:val="00AC4F72"/>
    <w:rsid w:val="00AC50BE"/>
    <w:rsid w:val="00AC5A72"/>
    <w:rsid w:val="00AD1710"/>
    <w:rsid w:val="00AD24A0"/>
    <w:rsid w:val="00AE395B"/>
    <w:rsid w:val="00AE4909"/>
    <w:rsid w:val="00AE63ED"/>
    <w:rsid w:val="00AE6A1C"/>
    <w:rsid w:val="00AE767A"/>
    <w:rsid w:val="00AF487A"/>
    <w:rsid w:val="00AF73DD"/>
    <w:rsid w:val="00B00F97"/>
    <w:rsid w:val="00B01CE8"/>
    <w:rsid w:val="00B0357E"/>
    <w:rsid w:val="00B0606A"/>
    <w:rsid w:val="00B06511"/>
    <w:rsid w:val="00B07F1F"/>
    <w:rsid w:val="00B14B19"/>
    <w:rsid w:val="00B1766A"/>
    <w:rsid w:val="00B17D29"/>
    <w:rsid w:val="00B218A4"/>
    <w:rsid w:val="00B22E90"/>
    <w:rsid w:val="00B2328C"/>
    <w:rsid w:val="00B240F3"/>
    <w:rsid w:val="00B271D2"/>
    <w:rsid w:val="00B271EE"/>
    <w:rsid w:val="00B30E86"/>
    <w:rsid w:val="00B31944"/>
    <w:rsid w:val="00B32A08"/>
    <w:rsid w:val="00B3532A"/>
    <w:rsid w:val="00B35AF6"/>
    <w:rsid w:val="00B36DE5"/>
    <w:rsid w:val="00B40373"/>
    <w:rsid w:val="00B4778D"/>
    <w:rsid w:val="00B51CB1"/>
    <w:rsid w:val="00B52B82"/>
    <w:rsid w:val="00B53FF7"/>
    <w:rsid w:val="00B574E2"/>
    <w:rsid w:val="00B6070D"/>
    <w:rsid w:val="00B6096A"/>
    <w:rsid w:val="00B635FA"/>
    <w:rsid w:val="00B6600E"/>
    <w:rsid w:val="00B66210"/>
    <w:rsid w:val="00B71BE2"/>
    <w:rsid w:val="00B722DA"/>
    <w:rsid w:val="00B73720"/>
    <w:rsid w:val="00B74C77"/>
    <w:rsid w:val="00B76798"/>
    <w:rsid w:val="00B81668"/>
    <w:rsid w:val="00B8360D"/>
    <w:rsid w:val="00B83614"/>
    <w:rsid w:val="00B839DC"/>
    <w:rsid w:val="00B868A4"/>
    <w:rsid w:val="00B94B25"/>
    <w:rsid w:val="00B95595"/>
    <w:rsid w:val="00B967D6"/>
    <w:rsid w:val="00B97A6C"/>
    <w:rsid w:val="00BA103D"/>
    <w:rsid w:val="00BA3591"/>
    <w:rsid w:val="00BA417D"/>
    <w:rsid w:val="00BA4381"/>
    <w:rsid w:val="00BA52AA"/>
    <w:rsid w:val="00BA5910"/>
    <w:rsid w:val="00BA7F8E"/>
    <w:rsid w:val="00BB01A4"/>
    <w:rsid w:val="00BB0BF5"/>
    <w:rsid w:val="00BB50F4"/>
    <w:rsid w:val="00BC08CC"/>
    <w:rsid w:val="00BC1112"/>
    <w:rsid w:val="00BC149B"/>
    <w:rsid w:val="00BC22F8"/>
    <w:rsid w:val="00BC28AD"/>
    <w:rsid w:val="00BC4A76"/>
    <w:rsid w:val="00BC70DA"/>
    <w:rsid w:val="00BC7187"/>
    <w:rsid w:val="00BD0A8C"/>
    <w:rsid w:val="00BD2257"/>
    <w:rsid w:val="00BD2CC1"/>
    <w:rsid w:val="00BD60B0"/>
    <w:rsid w:val="00BD6BC4"/>
    <w:rsid w:val="00BE0632"/>
    <w:rsid w:val="00BE625C"/>
    <w:rsid w:val="00BE671D"/>
    <w:rsid w:val="00BE6803"/>
    <w:rsid w:val="00BF0152"/>
    <w:rsid w:val="00BF2F13"/>
    <w:rsid w:val="00BF36C4"/>
    <w:rsid w:val="00BF739F"/>
    <w:rsid w:val="00C045E2"/>
    <w:rsid w:val="00C073B7"/>
    <w:rsid w:val="00C11256"/>
    <w:rsid w:val="00C14341"/>
    <w:rsid w:val="00C16562"/>
    <w:rsid w:val="00C167C0"/>
    <w:rsid w:val="00C172C5"/>
    <w:rsid w:val="00C22705"/>
    <w:rsid w:val="00C2461C"/>
    <w:rsid w:val="00C2676C"/>
    <w:rsid w:val="00C26A6F"/>
    <w:rsid w:val="00C3406A"/>
    <w:rsid w:val="00C35BBA"/>
    <w:rsid w:val="00C40135"/>
    <w:rsid w:val="00C412D1"/>
    <w:rsid w:val="00C42526"/>
    <w:rsid w:val="00C42CF3"/>
    <w:rsid w:val="00C43F7D"/>
    <w:rsid w:val="00C47974"/>
    <w:rsid w:val="00C5086B"/>
    <w:rsid w:val="00C50A96"/>
    <w:rsid w:val="00C553E7"/>
    <w:rsid w:val="00C656FC"/>
    <w:rsid w:val="00C701DB"/>
    <w:rsid w:val="00C702E9"/>
    <w:rsid w:val="00C73C1D"/>
    <w:rsid w:val="00C747B5"/>
    <w:rsid w:val="00C763C6"/>
    <w:rsid w:val="00C76464"/>
    <w:rsid w:val="00C80D9C"/>
    <w:rsid w:val="00C8138F"/>
    <w:rsid w:val="00C81BBE"/>
    <w:rsid w:val="00C85CD0"/>
    <w:rsid w:val="00C875DC"/>
    <w:rsid w:val="00C90270"/>
    <w:rsid w:val="00C905C9"/>
    <w:rsid w:val="00C9256B"/>
    <w:rsid w:val="00C96CCF"/>
    <w:rsid w:val="00CA526B"/>
    <w:rsid w:val="00CA5297"/>
    <w:rsid w:val="00CB0986"/>
    <w:rsid w:val="00CB1B7B"/>
    <w:rsid w:val="00CB2DEC"/>
    <w:rsid w:val="00CB5CC6"/>
    <w:rsid w:val="00CB6F3E"/>
    <w:rsid w:val="00CC273C"/>
    <w:rsid w:val="00CC6EEB"/>
    <w:rsid w:val="00CC73C3"/>
    <w:rsid w:val="00CC79F2"/>
    <w:rsid w:val="00CD5235"/>
    <w:rsid w:val="00CD6097"/>
    <w:rsid w:val="00CE027F"/>
    <w:rsid w:val="00CE0E21"/>
    <w:rsid w:val="00CE1A4B"/>
    <w:rsid w:val="00CE1D96"/>
    <w:rsid w:val="00CE248C"/>
    <w:rsid w:val="00CE2D3F"/>
    <w:rsid w:val="00CE32B7"/>
    <w:rsid w:val="00CE37DD"/>
    <w:rsid w:val="00CE4B68"/>
    <w:rsid w:val="00CE5BBE"/>
    <w:rsid w:val="00CE7569"/>
    <w:rsid w:val="00CF3503"/>
    <w:rsid w:val="00CF3BF9"/>
    <w:rsid w:val="00CF52AD"/>
    <w:rsid w:val="00CF650C"/>
    <w:rsid w:val="00CF6DAF"/>
    <w:rsid w:val="00CF7F49"/>
    <w:rsid w:val="00D00A21"/>
    <w:rsid w:val="00D01488"/>
    <w:rsid w:val="00D026DE"/>
    <w:rsid w:val="00D02EAB"/>
    <w:rsid w:val="00D04345"/>
    <w:rsid w:val="00D0636E"/>
    <w:rsid w:val="00D10974"/>
    <w:rsid w:val="00D140E4"/>
    <w:rsid w:val="00D158E8"/>
    <w:rsid w:val="00D17C5F"/>
    <w:rsid w:val="00D22C8E"/>
    <w:rsid w:val="00D2345E"/>
    <w:rsid w:val="00D30790"/>
    <w:rsid w:val="00D367DC"/>
    <w:rsid w:val="00D45BF1"/>
    <w:rsid w:val="00D46659"/>
    <w:rsid w:val="00D50791"/>
    <w:rsid w:val="00D53482"/>
    <w:rsid w:val="00D53F05"/>
    <w:rsid w:val="00D54C8C"/>
    <w:rsid w:val="00D578D8"/>
    <w:rsid w:val="00D64527"/>
    <w:rsid w:val="00D66DE7"/>
    <w:rsid w:val="00D67291"/>
    <w:rsid w:val="00D67512"/>
    <w:rsid w:val="00D67643"/>
    <w:rsid w:val="00D7166F"/>
    <w:rsid w:val="00D71C0A"/>
    <w:rsid w:val="00D732A2"/>
    <w:rsid w:val="00D75A02"/>
    <w:rsid w:val="00D75DF3"/>
    <w:rsid w:val="00D8273D"/>
    <w:rsid w:val="00D82FBE"/>
    <w:rsid w:val="00D8305E"/>
    <w:rsid w:val="00D83207"/>
    <w:rsid w:val="00D85949"/>
    <w:rsid w:val="00D96338"/>
    <w:rsid w:val="00DA0C05"/>
    <w:rsid w:val="00DA1ABC"/>
    <w:rsid w:val="00DA1BDA"/>
    <w:rsid w:val="00DA5EFC"/>
    <w:rsid w:val="00DA681E"/>
    <w:rsid w:val="00DA6EBB"/>
    <w:rsid w:val="00DA7800"/>
    <w:rsid w:val="00DB5D07"/>
    <w:rsid w:val="00DB6E27"/>
    <w:rsid w:val="00DB711C"/>
    <w:rsid w:val="00DB7A6C"/>
    <w:rsid w:val="00DC1CC9"/>
    <w:rsid w:val="00DC1F44"/>
    <w:rsid w:val="00DC7AC8"/>
    <w:rsid w:val="00DD2CA3"/>
    <w:rsid w:val="00DD638C"/>
    <w:rsid w:val="00DD6A1C"/>
    <w:rsid w:val="00DD7587"/>
    <w:rsid w:val="00DD7BCE"/>
    <w:rsid w:val="00DE15E6"/>
    <w:rsid w:val="00DE2374"/>
    <w:rsid w:val="00DE2EDB"/>
    <w:rsid w:val="00DE4DBF"/>
    <w:rsid w:val="00DE6E1E"/>
    <w:rsid w:val="00DE6F8F"/>
    <w:rsid w:val="00DF190D"/>
    <w:rsid w:val="00DF1D7D"/>
    <w:rsid w:val="00DF2BB2"/>
    <w:rsid w:val="00DF3EC3"/>
    <w:rsid w:val="00DF44D6"/>
    <w:rsid w:val="00E002BF"/>
    <w:rsid w:val="00E0361B"/>
    <w:rsid w:val="00E04D9D"/>
    <w:rsid w:val="00E04E2F"/>
    <w:rsid w:val="00E11F83"/>
    <w:rsid w:val="00E14810"/>
    <w:rsid w:val="00E20B67"/>
    <w:rsid w:val="00E228C4"/>
    <w:rsid w:val="00E232B8"/>
    <w:rsid w:val="00E24EFB"/>
    <w:rsid w:val="00E3029F"/>
    <w:rsid w:val="00E31776"/>
    <w:rsid w:val="00E3216B"/>
    <w:rsid w:val="00E3224F"/>
    <w:rsid w:val="00E33B2F"/>
    <w:rsid w:val="00E34309"/>
    <w:rsid w:val="00E375E7"/>
    <w:rsid w:val="00E42C54"/>
    <w:rsid w:val="00E44913"/>
    <w:rsid w:val="00E449EE"/>
    <w:rsid w:val="00E44C1C"/>
    <w:rsid w:val="00E46517"/>
    <w:rsid w:val="00E47A86"/>
    <w:rsid w:val="00E5328D"/>
    <w:rsid w:val="00E57E14"/>
    <w:rsid w:val="00E57F54"/>
    <w:rsid w:val="00E610A8"/>
    <w:rsid w:val="00E62F1E"/>
    <w:rsid w:val="00E6434E"/>
    <w:rsid w:val="00E663D9"/>
    <w:rsid w:val="00E7029D"/>
    <w:rsid w:val="00E703B9"/>
    <w:rsid w:val="00E712B4"/>
    <w:rsid w:val="00E72908"/>
    <w:rsid w:val="00E73161"/>
    <w:rsid w:val="00E73D0F"/>
    <w:rsid w:val="00E73FD1"/>
    <w:rsid w:val="00E753C6"/>
    <w:rsid w:val="00E83BAB"/>
    <w:rsid w:val="00E847CB"/>
    <w:rsid w:val="00E86120"/>
    <w:rsid w:val="00E86749"/>
    <w:rsid w:val="00E86EB9"/>
    <w:rsid w:val="00E91DBC"/>
    <w:rsid w:val="00E94D6B"/>
    <w:rsid w:val="00E97A37"/>
    <w:rsid w:val="00EA0029"/>
    <w:rsid w:val="00EA034D"/>
    <w:rsid w:val="00EA0CBD"/>
    <w:rsid w:val="00EA0D60"/>
    <w:rsid w:val="00EA0E04"/>
    <w:rsid w:val="00EA2152"/>
    <w:rsid w:val="00EA25B3"/>
    <w:rsid w:val="00EA53E3"/>
    <w:rsid w:val="00EA6263"/>
    <w:rsid w:val="00EA6C81"/>
    <w:rsid w:val="00EB22B6"/>
    <w:rsid w:val="00EB50E8"/>
    <w:rsid w:val="00EB5B5B"/>
    <w:rsid w:val="00EC0524"/>
    <w:rsid w:val="00EC2145"/>
    <w:rsid w:val="00EC3E20"/>
    <w:rsid w:val="00EC41B1"/>
    <w:rsid w:val="00EC79EC"/>
    <w:rsid w:val="00ED0234"/>
    <w:rsid w:val="00ED0D80"/>
    <w:rsid w:val="00ED0EAF"/>
    <w:rsid w:val="00ED187F"/>
    <w:rsid w:val="00ED4E7B"/>
    <w:rsid w:val="00ED5112"/>
    <w:rsid w:val="00ED6A1D"/>
    <w:rsid w:val="00EE0981"/>
    <w:rsid w:val="00EE1758"/>
    <w:rsid w:val="00EE32DF"/>
    <w:rsid w:val="00EE4762"/>
    <w:rsid w:val="00EE48E7"/>
    <w:rsid w:val="00EF16C9"/>
    <w:rsid w:val="00EF22BA"/>
    <w:rsid w:val="00EF3B06"/>
    <w:rsid w:val="00EF63C6"/>
    <w:rsid w:val="00F0199A"/>
    <w:rsid w:val="00F045BF"/>
    <w:rsid w:val="00F05483"/>
    <w:rsid w:val="00F05F51"/>
    <w:rsid w:val="00F10439"/>
    <w:rsid w:val="00F12174"/>
    <w:rsid w:val="00F136C6"/>
    <w:rsid w:val="00F13EF9"/>
    <w:rsid w:val="00F158CE"/>
    <w:rsid w:val="00F16A77"/>
    <w:rsid w:val="00F17084"/>
    <w:rsid w:val="00F1794C"/>
    <w:rsid w:val="00F2028E"/>
    <w:rsid w:val="00F21219"/>
    <w:rsid w:val="00F222D3"/>
    <w:rsid w:val="00F22DAD"/>
    <w:rsid w:val="00F232CF"/>
    <w:rsid w:val="00F23389"/>
    <w:rsid w:val="00F27C45"/>
    <w:rsid w:val="00F31C3A"/>
    <w:rsid w:val="00F32627"/>
    <w:rsid w:val="00F36A59"/>
    <w:rsid w:val="00F37E41"/>
    <w:rsid w:val="00F40414"/>
    <w:rsid w:val="00F40956"/>
    <w:rsid w:val="00F41FE7"/>
    <w:rsid w:val="00F442BE"/>
    <w:rsid w:val="00F4507D"/>
    <w:rsid w:val="00F4520A"/>
    <w:rsid w:val="00F45DD6"/>
    <w:rsid w:val="00F477F4"/>
    <w:rsid w:val="00F520C1"/>
    <w:rsid w:val="00F53134"/>
    <w:rsid w:val="00F53A16"/>
    <w:rsid w:val="00F54811"/>
    <w:rsid w:val="00F55F45"/>
    <w:rsid w:val="00F56611"/>
    <w:rsid w:val="00F57244"/>
    <w:rsid w:val="00F60028"/>
    <w:rsid w:val="00F6198B"/>
    <w:rsid w:val="00F6262F"/>
    <w:rsid w:val="00F669FE"/>
    <w:rsid w:val="00F702D2"/>
    <w:rsid w:val="00F75289"/>
    <w:rsid w:val="00F82E77"/>
    <w:rsid w:val="00F832B2"/>
    <w:rsid w:val="00F8340B"/>
    <w:rsid w:val="00F8579B"/>
    <w:rsid w:val="00F85E72"/>
    <w:rsid w:val="00F86602"/>
    <w:rsid w:val="00F909D3"/>
    <w:rsid w:val="00F92445"/>
    <w:rsid w:val="00F92980"/>
    <w:rsid w:val="00F92B8D"/>
    <w:rsid w:val="00F937AE"/>
    <w:rsid w:val="00F951AF"/>
    <w:rsid w:val="00F97432"/>
    <w:rsid w:val="00FA0E80"/>
    <w:rsid w:val="00FA1957"/>
    <w:rsid w:val="00FB1ACB"/>
    <w:rsid w:val="00FB34D3"/>
    <w:rsid w:val="00FB719A"/>
    <w:rsid w:val="00FC0DF7"/>
    <w:rsid w:val="00FC1489"/>
    <w:rsid w:val="00FC185D"/>
    <w:rsid w:val="00FC2D87"/>
    <w:rsid w:val="00FC4449"/>
    <w:rsid w:val="00FD10B7"/>
    <w:rsid w:val="00FD1E7A"/>
    <w:rsid w:val="00FD51BC"/>
    <w:rsid w:val="00FD628B"/>
    <w:rsid w:val="00FD6F85"/>
    <w:rsid w:val="00FD72BA"/>
    <w:rsid w:val="00FD76A7"/>
    <w:rsid w:val="00FD7797"/>
    <w:rsid w:val="00FE0556"/>
    <w:rsid w:val="00FE2E68"/>
    <w:rsid w:val="00FE72A0"/>
    <w:rsid w:val="00FE73E7"/>
    <w:rsid w:val="00FF1F76"/>
    <w:rsid w:val="00FF55A3"/>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39B76"/>
  <w15:docId w15:val="{4F295EAA-C5AD-4928-8927-EC64A56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uiPriority w:val="34"/>
    <w:qFormat/>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character" w:styleId="UnresolvedMention">
    <w:name w:val="Unresolved Mention"/>
    <w:basedOn w:val="DefaultParagraphFont"/>
    <w:uiPriority w:val="99"/>
    <w:semiHidden/>
    <w:unhideWhenUsed/>
    <w:rsid w:val="00506892"/>
    <w:rPr>
      <w:color w:val="605E5C"/>
      <w:shd w:val="clear" w:color="auto" w:fill="E1DFDD"/>
    </w:rPr>
  </w:style>
  <w:style w:type="paragraph" w:styleId="NormalWeb">
    <w:name w:val="Normal (Web)"/>
    <w:basedOn w:val="Normal"/>
    <w:uiPriority w:val="99"/>
    <w:semiHidden/>
    <w:unhideWhenUsed/>
    <w:rsid w:val="00417477"/>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qFormat/>
    <w:rsid w:val="00477CE5"/>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customStyle="1" w:styleId="paragraph">
    <w:name w:val="paragraph"/>
    <w:basedOn w:val="Normal"/>
    <w:rsid w:val="00641CD7"/>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DefaultParagraphFont"/>
    <w:rsid w:val="00641CD7"/>
  </w:style>
  <w:style w:type="character" w:styleId="CommentReference">
    <w:name w:val="annotation reference"/>
    <w:basedOn w:val="DefaultParagraphFont"/>
    <w:uiPriority w:val="99"/>
    <w:semiHidden/>
    <w:unhideWhenUsed/>
    <w:rsid w:val="003738C0"/>
    <w:rPr>
      <w:sz w:val="16"/>
      <w:szCs w:val="16"/>
    </w:rPr>
  </w:style>
  <w:style w:type="paragraph" w:styleId="CommentText">
    <w:name w:val="annotation text"/>
    <w:basedOn w:val="Normal"/>
    <w:link w:val="CommentTextChar"/>
    <w:uiPriority w:val="99"/>
    <w:unhideWhenUsed/>
    <w:rsid w:val="003738C0"/>
    <w:pPr>
      <w:spacing w:line="240" w:lineRule="auto"/>
    </w:pPr>
    <w:rPr>
      <w:sz w:val="20"/>
      <w:szCs w:val="20"/>
    </w:rPr>
  </w:style>
  <w:style w:type="character" w:customStyle="1" w:styleId="CommentTextChar">
    <w:name w:val="Comment Text Char"/>
    <w:basedOn w:val="DefaultParagraphFont"/>
    <w:link w:val="CommentText"/>
    <w:uiPriority w:val="99"/>
    <w:rsid w:val="003738C0"/>
    <w:rPr>
      <w:noProof/>
      <w:spacing w:val="-2"/>
      <w:kern w:val="21"/>
      <w:lang w:val="en-US"/>
    </w:rPr>
  </w:style>
  <w:style w:type="paragraph" w:styleId="CommentSubject">
    <w:name w:val="annotation subject"/>
    <w:basedOn w:val="CommentText"/>
    <w:next w:val="CommentText"/>
    <w:link w:val="CommentSubjectChar"/>
    <w:uiPriority w:val="99"/>
    <w:semiHidden/>
    <w:unhideWhenUsed/>
    <w:rsid w:val="003738C0"/>
    <w:rPr>
      <w:b/>
      <w:bCs/>
    </w:rPr>
  </w:style>
  <w:style w:type="character" w:customStyle="1" w:styleId="CommentSubjectChar">
    <w:name w:val="Comment Subject Char"/>
    <w:basedOn w:val="CommentTextChar"/>
    <w:link w:val="CommentSubject"/>
    <w:uiPriority w:val="99"/>
    <w:semiHidden/>
    <w:rsid w:val="003738C0"/>
    <w:rPr>
      <w:b/>
      <w:bCs/>
      <w:noProof/>
      <w:spacing w:val="-2"/>
      <w:kern w:val="21"/>
      <w:lang w:val="en-US"/>
    </w:rPr>
  </w:style>
  <w:style w:type="paragraph" w:styleId="Revision">
    <w:name w:val="Revision"/>
    <w:hidden/>
    <w:uiPriority w:val="99"/>
    <w:semiHidden/>
    <w:rsid w:val="00381DDE"/>
    <w:rPr>
      <w:noProof/>
      <w:spacing w:val="-2"/>
      <w:kern w:val="21"/>
      <w:sz w:val="21"/>
      <w:szCs w:val="22"/>
      <w:lang w:val="en-US"/>
    </w:rPr>
  </w:style>
  <w:style w:type="paragraph" w:customStyle="1" w:styleId="Ttitleblue">
    <w:name w:val="T_title_blue"/>
    <w:qFormat/>
    <w:rsid w:val="00804E6E"/>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qFormat/>
    <w:rsid w:val="00804E6E"/>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qFormat/>
    <w:rsid w:val="00804E6E"/>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qFormat/>
    <w:rsid w:val="00804E6E"/>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qFormat/>
    <w:rsid w:val="00804E6E"/>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qFormat/>
    <w:rsid w:val="00804E6E"/>
    <w:rPr>
      <w:rFonts w:ascii="Aktiv Grotesk Light" w:eastAsiaTheme="minorHAnsi" w:hAnsi="Aktiv Grotesk Light" w:cstheme="minorBidi"/>
      <w:color w:val="3F3F3F" w:themeColor="text1"/>
      <w:sz w:val="7"/>
      <w:szCs w:val="22"/>
      <w:lang w:val="en-GB" w:eastAsia="en-US"/>
    </w:rPr>
  </w:style>
  <w:style w:type="paragraph" w:customStyle="1" w:styleId="Ttext">
    <w:name w:val="T_text"/>
    <w:qFormat/>
    <w:rsid w:val="00804E6E"/>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qFormat/>
    <w:rsid w:val="00804E6E"/>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qFormat/>
    <w:rsid w:val="00804E6E"/>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qFormat/>
    <w:rsid w:val="00804E6E"/>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qFormat/>
    <w:rsid w:val="00804E6E"/>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qFormat/>
    <w:rsid w:val="00804E6E"/>
    <w:rPr>
      <w:rFonts w:ascii="Aktiv Grotesk Light" w:eastAsiaTheme="minorHAnsi" w:hAnsi="Aktiv Grotesk Light" w:cstheme="minorBidi"/>
      <w:sz w:val="2"/>
      <w:szCs w:val="22"/>
      <w:lang w:eastAsia="en-US"/>
    </w:rPr>
  </w:style>
  <w:style w:type="character" w:customStyle="1" w:styleId="TDummyZchn">
    <w:name w:val="T_Dummy Zchn"/>
    <w:link w:val="TDummy"/>
    <w:rsid w:val="00804E6E"/>
    <w:rPr>
      <w:rFonts w:ascii="Aktiv Grotesk Light" w:eastAsiaTheme="minorHAnsi" w:hAnsi="Aktiv Grotesk Light" w:cstheme="minorBidi"/>
      <w:color w:val="3F3F3F" w:themeColor="text1"/>
      <w:sz w:val="7"/>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3213">
      <w:bodyDiv w:val="1"/>
      <w:marLeft w:val="0"/>
      <w:marRight w:val="0"/>
      <w:marTop w:val="0"/>
      <w:marBottom w:val="0"/>
      <w:divBdr>
        <w:top w:val="none" w:sz="0" w:space="0" w:color="auto"/>
        <w:left w:val="none" w:sz="0" w:space="0" w:color="auto"/>
        <w:bottom w:val="none" w:sz="0" w:space="0" w:color="auto"/>
        <w:right w:val="none" w:sz="0" w:space="0" w:color="auto"/>
      </w:divBdr>
    </w:div>
    <w:div w:id="837426730">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ovest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vestr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richt.covestro.com/quartalsmitteilung-q1-20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vestro.com/blo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0DB100924878498377832A5D8C663D" ma:contentTypeVersion="10" ma:contentTypeDescription="Ein neues Dokument erstellen." ma:contentTypeScope="" ma:versionID="32ba1018f2ce32d05876ad6ecd18165d">
  <xsd:schema xmlns:xsd="http://www.w3.org/2001/XMLSchema" xmlns:xs="http://www.w3.org/2001/XMLSchema" xmlns:p="http://schemas.microsoft.com/office/2006/metadata/properties" xmlns:ns2="2210736a-ede2-479d-a950-7bc4c663be37" targetNamespace="http://schemas.microsoft.com/office/2006/metadata/properties" ma:root="true" ma:fieldsID="93ba7acdc7cf287c32305ead4fd545ea" ns2:_="">
    <xsd:import namespace="2210736a-ede2-479d-a950-7bc4c663b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0736a-ede2-479d-a950-7bc4c663b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11A3D-BBA2-4E62-9702-97899DB44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0736a-ede2-479d-a950-7bc4c663b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65E97-96AA-4F39-8126-8366C9D36266}">
  <ds:schemaRefs>
    <ds:schemaRef ds:uri="http://schemas.openxmlformats.org/officeDocument/2006/bibliography"/>
  </ds:schemaRefs>
</ds:datastoreItem>
</file>

<file path=customXml/itemProps3.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8DCCBC-9BFC-4462-9AC6-08EB55B02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1694</Words>
  <Characters>10727</Characters>
  <Application>Microsoft Office Word</Application>
  <DocSecurity>0</DocSecurity>
  <Lines>369</Lines>
  <Paragraphs>180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Svenja Paul</cp:lastModifiedBy>
  <cp:revision>31</cp:revision>
  <cp:lastPrinted>2022-05-02T18:29:00Z</cp:lastPrinted>
  <dcterms:created xsi:type="dcterms:W3CDTF">2022-05-02T15:33:00Z</dcterms:created>
  <dcterms:modified xsi:type="dcterms:W3CDTF">2022-05-02T18:29:00Z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0x010100650DB100924878498377832A5D8C663D</vt:lpwstr>
  </property>
</Properties>
</file>